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27702" w14:textId="77777777" w:rsidR="00627634" w:rsidRDefault="00627634" w:rsidP="00627634">
      <w:pPr>
        <w:jc w:val="both"/>
        <w:rPr>
          <w:rFonts w:ascii="Arial" w:eastAsia="Arial" w:hAnsi="Arial" w:cs="Arial"/>
          <w:b/>
          <w:sz w:val="24"/>
          <w:szCs w:val="24"/>
          <w:vertAlign w:val="superscript"/>
        </w:rPr>
      </w:pPr>
      <w:r>
        <w:rPr>
          <w:rFonts w:ascii="Arial" w:eastAsia="Arial" w:hAnsi="Arial" w:cs="Arial"/>
          <w:b/>
          <w:sz w:val="24"/>
          <w:szCs w:val="24"/>
        </w:rPr>
        <w:t>C. CARLOS ARTURO SANCHEZ LUGO, TITULAR DE LA DIRECCIÓN GENERAL DEL INSTITUTO HIDALGUENSE PARA DEVOLVER AL PUEBLO LO ROBADO, CON LAS FACULTADES QUE ME OTORGA EL ARTÍCULO 20 FRACCIÓN XXIII DE LA LEY PARA LA ADMINISTRACIÓN Y DESTINO DE BIENES ASEGURADOS, ABANDONADOS, DECOMISADOS Y EXTINCIÓN DE DOMINIO DEL ESTADO DE HIDALGO; Y</w:t>
      </w:r>
    </w:p>
    <w:p w14:paraId="00000002" w14:textId="77777777" w:rsidR="00042BBF" w:rsidRDefault="00042BBF">
      <w:pPr>
        <w:pBdr>
          <w:top w:val="nil"/>
          <w:left w:val="nil"/>
          <w:bottom w:val="nil"/>
          <w:right w:val="nil"/>
          <w:between w:val="nil"/>
        </w:pBdr>
        <w:spacing w:before="87" w:line="246" w:lineRule="auto"/>
        <w:ind w:right="139"/>
        <w:jc w:val="both"/>
        <w:rPr>
          <w:rFonts w:ascii="Arial" w:eastAsia="Arial" w:hAnsi="Arial" w:cs="Arial"/>
          <w:b/>
          <w:color w:val="000000"/>
        </w:rPr>
      </w:pPr>
    </w:p>
    <w:p w14:paraId="00000003" w14:textId="77777777" w:rsidR="00042BBF" w:rsidRDefault="00F866AE">
      <w:pPr>
        <w:pStyle w:val="Ttulo1"/>
        <w:ind w:right="3636"/>
        <w:jc w:val="right"/>
        <w:rPr>
          <w:rFonts w:ascii="Arial" w:eastAsia="Arial" w:hAnsi="Arial" w:cs="Arial"/>
          <w:sz w:val="22"/>
          <w:szCs w:val="22"/>
        </w:rPr>
      </w:pPr>
      <w:r>
        <w:t xml:space="preserve">     </w:t>
      </w:r>
      <w:r>
        <w:rPr>
          <w:rFonts w:ascii="Arial" w:eastAsia="Arial" w:hAnsi="Arial" w:cs="Arial"/>
          <w:sz w:val="22"/>
          <w:szCs w:val="22"/>
        </w:rPr>
        <w:t>CONSIDERANDO</w:t>
      </w:r>
    </w:p>
    <w:p w14:paraId="00000004" w14:textId="77777777" w:rsidR="00042BBF" w:rsidRDefault="00042BBF">
      <w:pPr>
        <w:pStyle w:val="Ttulo1"/>
        <w:ind w:right="3636"/>
        <w:jc w:val="right"/>
        <w:rPr>
          <w:rFonts w:ascii="Arial" w:eastAsia="Arial" w:hAnsi="Arial" w:cs="Arial"/>
          <w:sz w:val="22"/>
          <w:szCs w:val="22"/>
        </w:rPr>
      </w:pPr>
    </w:p>
    <w:p w14:paraId="00000005" w14:textId="77777777" w:rsidR="00042BBF" w:rsidRDefault="00F866AE">
      <w:pPr>
        <w:pBdr>
          <w:top w:val="nil"/>
          <w:left w:val="nil"/>
          <w:bottom w:val="nil"/>
          <w:right w:val="nil"/>
          <w:between w:val="nil"/>
        </w:pBdr>
        <w:spacing w:before="87" w:line="246" w:lineRule="auto"/>
        <w:ind w:right="141"/>
        <w:jc w:val="both"/>
        <w:rPr>
          <w:rFonts w:ascii="Arial" w:eastAsia="Arial" w:hAnsi="Arial" w:cs="Arial"/>
        </w:rPr>
      </w:pPr>
      <w:r>
        <w:rPr>
          <w:rFonts w:ascii="Arial" w:eastAsia="Arial" w:hAnsi="Arial" w:cs="Arial"/>
          <w:b/>
          <w:color w:val="000000"/>
        </w:rPr>
        <w:t xml:space="preserve">PRIMERO.- </w:t>
      </w:r>
      <w:r>
        <w:rPr>
          <w:rFonts w:ascii="Arial" w:eastAsia="Arial" w:hAnsi="Arial" w:cs="Arial"/>
          <w:color w:val="000000"/>
        </w:rPr>
        <w:t xml:space="preserve">Que el </w:t>
      </w:r>
      <w:r>
        <w:rPr>
          <w:rFonts w:ascii="Arial" w:eastAsia="Arial" w:hAnsi="Arial" w:cs="Arial"/>
        </w:rPr>
        <w:t>artículo 22 párrafo tercero de la Constitución Política de los Estados Unidos Mexicanos, establecerá los mecanismos para que las autoridades administren los bienes sujetos al proceso, incluidos sus productos, rendimientos, frutos y accesorios, y la autoridad lleve a cabo su uso, usufructo, enajenación y monetización, atendiendo al interés público, y defina con criterios de oportunidad el destino y, en su caso, la destrucción de los mismos.</w:t>
      </w:r>
    </w:p>
    <w:p w14:paraId="00000006" w14:textId="77777777" w:rsidR="00042BBF" w:rsidRDefault="00042BBF">
      <w:pPr>
        <w:pBdr>
          <w:top w:val="nil"/>
          <w:left w:val="nil"/>
          <w:bottom w:val="nil"/>
          <w:right w:val="nil"/>
          <w:between w:val="nil"/>
        </w:pBdr>
        <w:spacing w:before="87" w:line="246" w:lineRule="auto"/>
        <w:ind w:right="141"/>
        <w:jc w:val="both"/>
        <w:rPr>
          <w:rFonts w:ascii="Arial" w:eastAsia="Arial" w:hAnsi="Arial" w:cs="Arial"/>
        </w:rPr>
      </w:pPr>
    </w:p>
    <w:p w14:paraId="00000007" w14:textId="77777777" w:rsidR="00042BBF" w:rsidRDefault="00F866AE">
      <w:pPr>
        <w:pBdr>
          <w:top w:val="nil"/>
          <w:left w:val="nil"/>
          <w:bottom w:val="nil"/>
          <w:right w:val="nil"/>
          <w:between w:val="nil"/>
        </w:pBdr>
        <w:spacing w:before="87" w:line="246" w:lineRule="auto"/>
        <w:ind w:right="141"/>
        <w:jc w:val="both"/>
        <w:rPr>
          <w:rFonts w:ascii="Arial" w:eastAsia="Arial" w:hAnsi="Arial" w:cs="Arial"/>
          <w:color w:val="000000"/>
        </w:rPr>
      </w:pPr>
      <w:r>
        <w:rPr>
          <w:rFonts w:ascii="Arial" w:eastAsia="Arial" w:hAnsi="Arial" w:cs="Arial"/>
          <w:b/>
        </w:rPr>
        <w:t>SEGUNDO.-</w:t>
      </w:r>
      <w:r>
        <w:rPr>
          <w:rFonts w:ascii="Arial" w:eastAsia="Arial" w:hAnsi="Arial" w:cs="Arial"/>
        </w:rPr>
        <w:t xml:space="preserve"> Que la L</w:t>
      </w:r>
      <w:r>
        <w:rPr>
          <w:rFonts w:ascii="Arial" w:eastAsia="Arial" w:hAnsi="Arial" w:cs="Arial"/>
          <w:color w:val="000000"/>
        </w:rPr>
        <w:t>ey para la Administración y Destino de Bienes Asegurados, Abandonados, Decomisados y Extinción de Dominio del Estado de Hidalgo</w:t>
      </w:r>
      <w:r>
        <w:rPr>
          <w:rFonts w:ascii="Arial" w:eastAsia="Arial" w:hAnsi="Arial" w:cs="Arial"/>
        </w:rPr>
        <w:t>,</w:t>
      </w:r>
      <w:r>
        <w:rPr>
          <w:rFonts w:ascii="Arial" w:eastAsia="Arial" w:hAnsi="Arial" w:cs="Arial"/>
          <w:color w:val="000000"/>
        </w:rPr>
        <w:t xml:space="preserve"> en</w:t>
      </w:r>
      <w:r>
        <w:rPr>
          <w:rFonts w:ascii="Arial" w:eastAsia="Arial" w:hAnsi="Arial" w:cs="Arial"/>
        </w:rPr>
        <w:t xml:space="preserve"> su artículo 18 fracción XV, faculta a la Junta de Gobierno a emitir el presente lineamiento para la destrucción de bienes, el cual es necesario para la operación del Instituto.</w:t>
      </w:r>
    </w:p>
    <w:p w14:paraId="00000008" w14:textId="77777777" w:rsidR="00042BBF" w:rsidRDefault="00042BBF">
      <w:pPr>
        <w:pBdr>
          <w:top w:val="nil"/>
          <w:left w:val="nil"/>
          <w:bottom w:val="nil"/>
          <w:right w:val="nil"/>
          <w:between w:val="nil"/>
        </w:pBdr>
        <w:spacing w:before="87" w:line="246" w:lineRule="auto"/>
        <w:ind w:right="141"/>
        <w:jc w:val="both"/>
        <w:rPr>
          <w:rFonts w:ascii="Arial" w:eastAsia="Arial" w:hAnsi="Arial" w:cs="Arial"/>
          <w:color w:val="000000"/>
        </w:rPr>
      </w:pPr>
    </w:p>
    <w:p w14:paraId="00000009" w14:textId="77777777" w:rsidR="00042BBF" w:rsidRDefault="00F866AE">
      <w:pPr>
        <w:pBdr>
          <w:top w:val="nil"/>
          <w:left w:val="nil"/>
          <w:bottom w:val="nil"/>
          <w:right w:val="nil"/>
          <w:between w:val="nil"/>
        </w:pBdr>
        <w:spacing w:before="83" w:line="249" w:lineRule="auto"/>
        <w:ind w:right="144"/>
        <w:jc w:val="both"/>
        <w:rPr>
          <w:rFonts w:ascii="Arial" w:eastAsia="Arial" w:hAnsi="Arial" w:cs="Arial"/>
        </w:rPr>
      </w:pPr>
      <w:r>
        <w:rPr>
          <w:rFonts w:ascii="Arial" w:eastAsia="Arial" w:hAnsi="Arial" w:cs="Arial"/>
          <w:b/>
        </w:rPr>
        <w:t>TERCERO</w:t>
      </w:r>
      <w:r>
        <w:rPr>
          <w:rFonts w:ascii="Arial" w:eastAsia="Arial" w:hAnsi="Arial" w:cs="Arial"/>
          <w:b/>
          <w:color w:val="000000"/>
        </w:rPr>
        <w:t xml:space="preserve">.- </w:t>
      </w:r>
      <w:r>
        <w:rPr>
          <w:rFonts w:ascii="Arial" w:eastAsia="Arial" w:hAnsi="Arial" w:cs="Arial"/>
          <w:color w:val="000000"/>
        </w:rPr>
        <w:t xml:space="preserve">Que </w:t>
      </w:r>
      <w:r>
        <w:rPr>
          <w:rFonts w:ascii="Arial" w:eastAsia="Arial" w:hAnsi="Arial" w:cs="Arial"/>
        </w:rPr>
        <w:t>el Instituto</w:t>
      </w:r>
      <w:r>
        <w:rPr>
          <w:rFonts w:ascii="Arial" w:eastAsia="Arial" w:hAnsi="Arial" w:cs="Arial"/>
          <w:color w:val="000000"/>
        </w:rPr>
        <w:t xml:space="preserve"> podrá ad</w:t>
      </w:r>
      <w:r>
        <w:rPr>
          <w:rFonts w:ascii="Arial" w:eastAsia="Arial" w:hAnsi="Arial" w:cs="Arial"/>
        </w:rPr>
        <w:t>ministrar, enajenar, usar, usufructuar, monetizar, dar destino o destruir directamente los bienes, activos o empresas que le sean transferidos o nombrar a las personas que funjan como depositarios, liquidadores, interventores o administradores, así como encomendar a terceros la enajenación y destrucción de los bienes.</w:t>
      </w:r>
    </w:p>
    <w:p w14:paraId="0000000A" w14:textId="77777777" w:rsidR="00042BBF" w:rsidRDefault="00042BBF">
      <w:pPr>
        <w:pBdr>
          <w:top w:val="nil"/>
          <w:left w:val="nil"/>
          <w:bottom w:val="nil"/>
          <w:right w:val="nil"/>
          <w:between w:val="nil"/>
        </w:pBdr>
        <w:spacing w:before="83" w:line="249" w:lineRule="auto"/>
        <w:ind w:right="144"/>
        <w:jc w:val="both"/>
        <w:rPr>
          <w:rFonts w:ascii="Arial" w:eastAsia="Arial" w:hAnsi="Arial" w:cs="Arial"/>
        </w:rPr>
      </w:pPr>
    </w:p>
    <w:p w14:paraId="0000000B" w14:textId="7B7365F0" w:rsidR="00042BBF" w:rsidRDefault="00F866AE">
      <w:pPr>
        <w:pBdr>
          <w:top w:val="nil"/>
          <w:left w:val="nil"/>
          <w:bottom w:val="nil"/>
          <w:right w:val="nil"/>
          <w:between w:val="nil"/>
        </w:pBdr>
        <w:spacing w:before="79" w:line="249" w:lineRule="auto"/>
        <w:ind w:right="146"/>
        <w:jc w:val="both"/>
        <w:rPr>
          <w:rFonts w:ascii="Arial" w:eastAsia="Arial" w:hAnsi="Arial" w:cs="Arial"/>
        </w:rPr>
      </w:pPr>
      <w:r>
        <w:rPr>
          <w:rFonts w:ascii="Arial" w:eastAsia="Arial" w:hAnsi="Arial" w:cs="Arial"/>
          <w:b/>
        </w:rPr>
        <w:t>CUARTO</w:t>
      </w:r>
      <w:r>
        <w:rPr>
          <w:rFonts w:ascii="Arial" w:eastAsia="Arial" w:hAnsi="Arial" w:cs="Arial"/>
          <w:b/>
          <w:color w:val="000000"/>
        </w:rPr>
        <w:t xml:space="preserve">.- </w:t>
      </w:r>
      <w:r>
        <w:rPr>
          <w:rFonts w:ascii="Arial" w:eastAsia="Arial" w:hAnsi="Arial" w:cs="Arial"/>
          <w:color w:val="000000"/>
        </w:rPr>
        <w:t>Que es necesario emitir</w:t>
      </w:r>
      <w:r>
        <w:rPr>
          <w:rFonts w:ascii="Arial" w:eastAsia="Arial" w:hAnsi="Arial" w:cs="Arial"/>
        </w:rPr>
        <w:t xml:space="preserve"> los presentes </w:t>
      </w:r>
      <w:r>
        <w:rPr>
          <w:rFonts w:ascii="Arial" w:eastAsia="Arial" w:hAnsi="Arial" w:cs="Arial"/>
          <w:color w:val="000000"/>
        </w:rPr>
        <w:t xml:space="preserve">lineamientos que garanticen  la destrucción de bienes </w:t>
      </w:r>
      <w:r>
        <w:rPr>
          <w:rFonts w:ascii="Arial" w:eastAsia="Arial" w:hAnsi="Arial" w:cs="Arial"/>
        </w:rPr>
        <w:t xml:space="preserve">de </w:t>
      </w:r>
      <w:r>
        <w:rPr>
          <w:rFonts w:ascii="Arial" w:eastAsia="Arial" w:hAnsi="Arial" w:cs="Arial"/>
          <w:color w:val="000000"/>
        </w:rPr>
        <w:t>forma ordenada, transparente, segura y con los menores impactos al medio ambiente</w:t>
      </w:r>
      <w:r>
        <w:rPr>
          <w:rFonts w:ascii="Arial" w:eastAsia="Arial" w:hAnsi="Arial" w:cs="Arial"/>
        </w:rPr>
        <w:t xml:space="preserve"> y recursos naturales, tomando en cuenta siempre la preservación y restauración del equilibrio ecológico y el desarrollo sustentable, conforme a los </w:t>
      </w:r>
      <w:r w:rsidRPr="00F866AE">
        <w:rPr>
          <w:rFonts w:ascii="Arial" w:eastAsia="Arial" w:hAnsi="Arial" w:cs="Arial"/>
        </w:rPr>
        <w:t>principios contenidos en el artículo 5°</w:t>
      </w:r>
      <w:r>
        <w:rPr>
          <w:rFonts w:ascii="Arial" w:eastAsia="Arial" w:hAnsi="Arial" w:cs="Arial"/>
        </w:rPr>
        <w:t xml:space="preserve"> de la Constitución Política del Estado de Hidalgo, eligiendo el Instituto el método más adecuado para ocasionar los menores riesgos a la salud.</w:t>
      </w:r>
    </w:p>
    <w:p w14:paraId="0000000C" w14:textId="77777777" w:rsidR="00042BBF" w:rsidRDefault="00042BBF">
      <w:pPr>
        <w:pBdr>
          <w:top w:val="nil"/>
          <w:left w:val="nil"/>
          <w:bottom w:val="nil"/>
          <w:right w:val="nil"/>
          <w:between w:val="nil"/>
        </w:pBdr>
        <w:spacing w:before="79" w:line="249" w:lineRule="auto"/>
        <w:ind w:right="146"/>
        <w:jc w:val="both"/>
        <w:rPr>
          <w:rFonts w:ascii="Arial" w:eastAsia="Arial" w:hAnsi="Arial" w:cs="Arial"/>
        </w:rPr>
      </w:pPr>
    </w:p>
    <w:p w14:paraId="0000000D" w14:textId="77777777" w:rsidR="00042BBF" w:rsidRDefault="00F866AE">
      <w:pPr>
        <w:pBdr>
          <w:top w:val="nil"/>
          <w:left w:val="nil"/>
          <w:bottom w:val="nil"/>
          <w:right w:val="nil"/>
          <w:between w:val="nil"/>
        </w:pBdr>
        <w:spacing w:before="75" w:line="249" w:lineRule="auto"/>
        <w:ind w:right="141"/>
        <w:jc w:val="both"/>
        <w:rPr>
          <w:rFonts w:ascii="Arial" w:eastAsia="Arial" w:hAnsi="Arial" w:cs="Arial"/>
        </w:rPr>
      </w:pPr>
      <w:r>
        <w:rPr>
          <w:rFonts w:ascii="Arial" w:eastAsia="Arial" w:hAnsi="Arial" w:cs="Arial"/>
          <w:b/>
        </w:rPr>
        <w:t>QUINTO</w:t>
      </w:r>
      <w:r>
        <w:rPr>
          <w:rFonts w:ascii="Arial" w:eastAsia="Arial" w:hAnsi="Arial" w:cs="Arial"/>
          <w:b/>
          <w:color w:val="000000"/>
        </w:rPr>
        <w:t>.-</w:t>
      </w:r>
      <w:r>
        <w:rPr>
          <w:rFonts w:ascii="Arial" w:eastAsia="Arial" w:hAnsi="Arial" w:cs="Arial"/>
          <w:color w:val="000000"/>
        </w:rPr>
        <w:t xml:space="preserve"> Que </w:t>
      </w:r>
      <w:r>
        <w:rPr>
          <w:rFonts w:ascii="Arial" w:eastAsia="Arial" w:hAnsi="Arial" w:cs="Arial"/>
        </w:rPr>
        <w:t>l</w:t>
      </w:r>
      <w:r>
        <w:rPr>
          <w:rFonts w:ascii="Arial" w:eastAsia="Arial" w:hAnsi="Arial" w:cs="Arial"/>
          <w:color w:val="000000"/>
        </w:rPr>
        <w:t xml:space="preserve">as entidades </w:t>
      </w:r>
      <w:r>
        <w:rPr>
          <w:rFonts w:ascii="Arial" w:eastAsia="Arial" w:hAnsi="Arial" w:cs="Arial"/>
        </w:rPr>
        <w:t>transferentes en</w:t>
      </w:r>
      <w:r>
        <w:rPr>
          <w:rFonts w:ascii="Arial" w:eastAsia="Arial" w:hAnsi="Arial" w:cs="Arial"/>
          <w:color w:val="000000"/>
        </w:rPr>
        <w:t xml:space="preserve"> muchas de</w:t>
      </w:r>
      <w:r>
        <w:rPr>
          <w:rFonts w:ascii="Arial" w:eastAsia="Arial" w:hAnsi="Arial" w:cs="Arial"/>
        </w:rPr>
        <w:t xml:space="preserve"> las ocasiones</w:t>
      </w:r>
      <w:r>
        <w:rPr>
          <w:rFonts w:ascii="Arial" w:eastAsia="Arial" w:hAnsi="Arial" w:cs="Arial"/>
          <w:color w:val="000000"/>
        </w:rPr>
        <w:t xml:space="preserve"> entregan </w:t>
      </w:r>
      <w:r>
        <w:rPr>
          <w:rFonts w:ascii="Arial" w:eastAsia="Arial" w:hAnsi="Arial" w:cs="Arial"/>
        </w:rPr>
        <w:t>bienes obsoletos,</w:t>
      </w:r>
      <w:r>
        <w:rPr>
          <w:rFonts w:ascii="Arial" w:eastAsia="Arial" w:hAnsi="Arial" w:cs="Arial"/>
          <w:color w:val="000000"/>
        </w:rPr>
        <w:t xml:space="preserve"> </w:t>
      </w:r>
      <w:r>
        <w:rPr>
          <w:rFonts w:ascii="Arial" w:eastAsia="Arial" w:hAnsi="Arial" w:cs="Arial"/>
        </w:rPr>
        <w:t>que</w:t>
      </w:r>
      <w:r>
        <w:rPr>
          <w:rFonts w:ascii="Arial" w:eastAsia="Arial" w:hAnsi="Arial" w:cs="Arial"/>
          <w:color w:val="000000"/>
        </w:rPr>
        <w:t xml:space="preserve"> por el estado físico en que se encuentran y por el costo que representa su conservación y el poco valor de venta de los mismos, no son susceptibles de administrar, además, en algunos casos, </w:t>
      </w:r>
      <w:r>
        <w:rPr>
          <w:rFonts w:ascii="Arial" w:eastAsia="Arial" w:hAnsi="Arial" w:cs="Arial"/>
        </w:rPr>
        <w:t>está</w:t>
      </w:r>
      <w:r>
        <w:rPr>
          <w:rFonts w:ascii="Arial" w:eastAsia="Arial" w:hAnsi="Arial" w:cs="Arial"/>
          <w:color w:val="000000"/>
        </w:rPr>
        <w:t xml:space="preserve"> en riesgo</w:t>
      </w:r>
      <w:r>
        <w:rPr>
          <w:rFonts w:ascii="Arial" w:eastAsia="Arial" w:hAnsi="Arial" w:cs="Arial"/>
        </w:rPr>
        <w:t xml:space="preserve"> </w:t>
      </w:r>
      <w:r>
        <w:rPr>
          <w:rFonts w:ascii="Arial" w:eastAsia="Arial" w:hAnsi="Arial" w:cs="Arial"/>
          <w:color w:val="000000"/>
        </w:rPr>
        <w:t>la salud humana, el equilibrio ecológico o el medio ambient</w:t>
      </w:r>
      <w:r>
        <w:rPr>
          <w:rFonts w:ascii="Arial" w:eastAsia="Arial" w:hAnsi="Arial" w:cs="Arial"/>
        </w:rPr>
        <w:t xml:space="preserve">e, por lo que para evitar gastos innecesarios se requiere </w:t>
      </w:r>
      <w:r>
        <w:rPr>
          <w:rFonts w:ascii="Arial" w:eastAsia="Arial" w:hAnsi="Arial" w:cs="Arial"/>
        </w:rPr>
        <w:lastRenderedPageBreak/>
        <w:t>desocupar espacios para la guarda de bienes que sí representan una buena utilidad.</w:t>
      </w:r>
    </w:p>
    <w:p w14:paraId="0000000E" w14:textId="77777777" w:rsidR="00042BBF" w:rsidRDefault="00042BBF">
      <w:pPr>
        <w:pBdr>
          <w:top w:val="nil"/>
          <w:left w:val="nil"/>
          <w:bottom w:val="nil"/>
          <w:right w:val="nil"/>
          <w:between w:val="nil"/>
        </w:pBdr>
        <w:spacing w:before="75" w:line="249" w:lineRule="auto"/>
        <w:ind w:right="141"/>
        <w:jc w:val="both"/>
        <w:rPr>
          <w:rFonts w:ascii="Arial" w:eastAsia="Arial" w:hAnsi="Arial" w:cs="Arial"/>
        </w:rPr>
      </w:pPr>
    </w:p>
    <w:p w14:paraId="0000000F" w14:textId="77777777" w:rsidR="00042BBF" w:rsidRDefault="00F866AE">
      <w:pPr>
        <w:pBdr>
          <w:top w:val="nil"/>
          <w:left w:val="nil"/>
          <w:bottom w:val="nil"/>
          <w:right w:val="nil"/>
          <w:between w:val="nil"/>
        </w:pBdr>
        <w:tabs>
          <w:tab w:val="left" w:pos="3811"/>
          <w:tab w:val="left" w:pos="7732"/>
        </w:tabs>
        <w:spacing w:before="74" w:line="249" w:lineRule="auto"/>
        <w:ind w:right="136"/>
        <w:jc w:val="both"/>
        <w:rPr>
          <w:rFonts w:ascii="Arial" w:eastAsia="Arial" w:hAnsi="Arial" w:cs="Arial"/>
          <w:color w:val="000000"/>
        </w:rPr>
      </w:pPr>
      <w:r>
        <w:rPr>
          <w:rFonts w:ascii="Arial" w:eastAsia="Arial" w:hAnsi="Arial" w:cs="Arial"/>
          <w:b/>
        </w:rPr>
        <w:t>SEX</w:t>
      </w:r>
      <w:r>
        <w:rPr>
          <w:rFonts w:ascii="Arial" w:eastAsia="Arial" w:hAnsi="Arial" w:cs="Arial"/>
          <w:b/>
          <w:color w:val="000000"/>
        </w:rPr>
        <w:t xml:space="preserve">TO.- </w:t>
      </w:r>
      <w:r>
        <w:rPr>
          <w:rFonts w:ascii="Arial" w:eastAsia="Arial" w:hAnsi="Arial" w:cs="Arial"/>
        </w:rPr>
        <w:t>Que l</w:t>
      </w:r>
      <w:r>
        <w:rPr>
          <w:rFonts w:ascii="Arial" w:eastAsia="Arial" w:hAnsi="Arial" w:cs="Arial"/>
          <w:color w:val="000000"/>
        </w:rPr>
        <w:t xml:space="preserve">a destrucción de sustancias psicotrópicas, psicoactivas, estupefacientes, drogas, narcóticos y precursores químicos, se sujetarán a lo dispuesto en el </w:t>
      </w:r>
      <w:r>
        <w:rPr>
          <w:rFonts w:ascii="Arial" w:eastAsia="Arial" w:hAnsi="Arial" w:cs="Arial"/>
        </w:rPr>
        <w:t>C</w:t>
      </w:r>
      <w:r>
        <w:rPr>
          <w:rFonts w:ascii="Arial" w:eastAsia="Arial" w:hAnsi="Arial" w:cs="Arial"/>
          <w:color w:val="000000"/>
        </w:rPr>
        <w:t xml:space="preserve">ódigo </w:t>
      </w:r>
      <w:r>
        <w:rPr>
          <w:rFonts w:ascii="Arial" w:eastAsia="Arial" w:hAnsi="Arial" w:cs="Arial"/>
        </w:rPr>
        <w:t>P</w:t>
      </w:r>
      <w:r>
        <w:rPr>
          <w:rFonts w:ascii="Arial" w:eastAsia="Arial" w:hAnsi="Arial" w:cs="Arial"/>
          <w:color w:val="000000"/>
        </w:rPr>
        <w:t xml:space="preserve">enal del </w:t>
      </w:r>
      <w:r>
        <w:rPr>
          <w:rFonts w:ascii="Arial" w:eastAsia="Arial" w:hAnsi="Arial" w:cs="Arial"/>
        </w:rPr>
        <w:t>E</w:t>
      </w:r>
      <w:r>
        <w:rPr>
          <w:rFonts w:ascii="Arial" w:eastAsia="Arial" w:hAnsi="Arial" w:cs="Arial"/>
          <w:color w:val="000000"/>
        </w:rPr>
        <w:t xml:space="preserve">stado de </w:t>
      </w:r>
      <w:r>
        <w:rPr>
          <w:rFonts w:ascii="Arial" w:eastAsia="Arial" w:hAnsi="Arial" w:cs="Arial"/>
        </w:rPr>
        <w:t>Hidalgo</w:t>
      </w:r>
      <w:r>
        <w:rPr>
          <w:rFonts w:ascii="Arial" w:eastAsia="Arial" w:hAnsi="Arial" w:cs="Arial"/>
          <w:color w:val="000000"/>
        </w:rPr>
        <w:t xml:space="preserve"> y </w:t>
      </w:r>
      <w:r>
        <w:rPr>
          <w:rFonts w:ascii="Arial" w:eastAsia="Arial" w:hAnsi="Arial" w:cs="Arial"/>
        </w:rPr>
        <w:t>al</w:t>
      </w:r>
      <w:r>
        <w:rPr>
          <w:rFonts w:ascii="Arial" w:eastAsia="Arial" w:hAnsi="Arial" w:cs="Arial"/>
          <w:color w:val="000000"/>
        </w:rPr>
        <w:t xml:space="preserve"> </w:t>
      </w:r>
      <w:r>
        <w:rPr>
          <w:rFonts w:ascii="Arial" w:eastAsia="Arial" w:hAnsi="Arial" w:cs="Arial"/>
        </w:rPr>
        <w:t>C</w:t>
      </w:r>
      <w:r>
        <w:rPr>
          <w:rFonts w:ascii="Arial" w:eastAsia="Arial" w:hAnsi="Arial" w:cs="Arial"/>
          <w:color w:val="000000"/>
        </w:rPr>
        <w:t xml:space="preserve">ódigo </w:t>
      </w:r>
      <w:r>
        <w:rPr>
          <w:rFonts w:ascii="Arial" w:eastAsia="Arial" w:hAnsi="Arial" w:cs="Arial"/>
        </w:rPr>
        <w:t>N</w:t>
      </w:r>
      <w:r>
        <w:rPr>
          <w:rFonts w:ascii="Arial" w:eastAsia="Arial" w:hAnsi="Arial" w:cs="Arial"/>
          <w:color w:val="000000"/>
        </w:rPr>
        <w:t xml:space="preserve">acional de </w:t>
      </w:r>
      <w:r>
        <w:rPr>
          <w:rFonts w:ascii="Arial" w:eastAsia="Arial" w:hAnsi="Arial" w:cs="Arial"/>
        </w:rPr>
        <w:t>P</w:t>
      </w:r>
      <w:r>
        <w:rPr>
          <w:rFonts w:ascii="Arial" w:eastAsia="Arial" w:hAnsi="Arial" w:cs="Arial"/>
          <w:color w:val="000000"/>
        </w:rPr>
        <w:t xml:space="preserve">rocedimientos </w:t>
      </w:r>
      <w:r>
        <w:rPr>
          <w:rFonts w:ascii="Arial" w:eastAsia="Arial" w:hAnsi="Arial" w:cs="Arial"/>
        </w:rPr>
        <w:t>P</w:t>
      </w:r>
      <w:r>
        <w:rPr>
          <w:rFonts w:ascii="Arial" w:eastAsia="Arial" w:hAnsi="Arial" w:cs="Arial"/>
          <w:color w:val="000000"/>
        </w:rPr>
        <w:t xml:space="preserve">enales. </w:t>
      </w:r>
    </w:p>
    <w:p w14:paraId="00000010" w14:textId="77777777" w:rsidR="00042BBF" w:rsidRDefault="00042BBF">
      <w:pPr>
        <w:pBdr>
          <w:top w:val="nil"/>
          <w:left w:val="nil"/>
          <w:bottom w:val="nil"/>
          <w:right w:val="nil"/>
          <w:between w:val="nil"/>
        </w:pBdr>
        <w:spacing w:line="254" w:lineRule="auto"/>
        <w:ind w:right="143"/>
        <w:jc w:val="both"/>
        <w:rPr>
          <w:rFonts w:ascii="Arial" w:eastAsia="Arial" w:hAnsi="Arial" w:cs="Arial"/>
          <w:color w:val="000000"/>
        </w:rPr>
      </w:pPr>
    </w:p>
    <w:p w14:paraId="00000011" w14:textId="77777777" w:rsidR="00042BBF" w:rsidRDefault="00F866AE">
      <w:pPr>
        <w:pBdr>
          <w:top w:val="nil"/>
          <w:left w:val="nil"/>
          <w:bottom w:val="nil"/>
          <w:right w:val="nil"/>
          <w:between w:val="nil"/>
        </w:pBdr>
        <w:spacing w:before="87" w:line="261" w:lineRule="auto"/>
        <w:ind w:right="137"/>
        <w:jc w:val="both"/>
        <w:rPr>
          <w:rFonts w:ascii="Arial" w:eastAsia="Arial" w:hAnsi="Arial" w:cs="Arial"/>
          <w:color w:val="000000"/>
        </w:rPr>
      </w:pPr>
      <w:r>
        <w:rPr>
          <w:rFonts w:ascii="Arial" w:eastAsia="Arial" w:hAnsi="Arial" w:cs="Arial"/>
          <w:color w:val="000000"/>
        </w:rPr>
        <w:t>Que en virtud de que resulta indispensable contar con lineamientos claros que permitan llevar a cabo la destrucción de los bienes antes referidos, hemos tenido a bien emitir los siguientes:</w:t>
      </w:r>
    </w:p>
    <w:p w14:paraId="00000012" w14:textId="77777777" w:rsidR="00042BBF" w:rsidRDefault="00042BBF">
      <w:pPr>
        <w:pBdr>
          <w:top w:val="nil"/>
          <w:left w:val="nil"/>
          <w:bottom w:val="nil"/>
          <w:right w:val="nil"/>
          <w:between w:val="nil"/>
        </w:pBdr>
        <w:spacing w:before="87" w:line="261" w:lineRule="auto"/>
        <w:ind w:right="137"/>
        <w:jc w:val="both"/>
        <w:rPr>
          <w:rFonts w:ascii="Arial" w:eastAsia="Arial" w:hAnsi="Arial" w:cs="Arial"/>
          <w:color w:val="000000"/>
        </w:rPr>
      </w:pPr>
    </w:p>
    <w:p w14:paraId="00000013" w14:textId="77777777" w:rsidR="00042BBF" w:rsidRDefault="00F866AE">
      <w:pPr>
        <w:pStyle w:val="Ttulo1"/>
        <w:spacing w:before="85"/>
        <w:ind w:right="1"/>
        <w:rPr>
          <w:rFonts w:ascii="Arial" w:eastAsia="Arial" w:hAnsi="Arial" w:cs="Arial"/>
          <w:sz w:val="24"/>
          <w:szCs w:val="24"/>
        </w:rPr>
      </w:pPr>
      <w:r>
        <w:rPr>
          <w:rFonts w:ascii="Arial" w:eastAsia="Arial" w:hAnsi="Arial" w:cs="Arial"/>
          <w:sz w:val="24"/>
          <w:szCs w:val="24"/>
        </w:rPr>
        <w:t>LINEAMIENTOS NECESARIOS PARA LA DESTRUCCIÓN DE BIENES DEL INSTITUTO HIDALGUENSE PARA DEVOLVER AL PUEBLO LO ROBADO</w:t>
      </w:r>
    </w:p>
    <w:p w14:paraId="00000014" w14:textId="77777777" w:rsidR="00042BBF" w:rsidRDefault="00042BBF">
      <w:pPr>
        <w:pStyle w:val="Ttulo1"/>
        <w:spacing w:before="85"/>
        <w:ind w:right="1622"/>
        <w:jc w:val="left"/>
        <w:rPr>
          <w:rFonts w:ascii="Arial" w:eastAsia="Arial" w:hAnsi="Arial" w:cs="Arial"/>
          <w:sz w:val="24"/>
          <w:szCs w:val="24"/>
        </w:rPr>
      </w:pPr>
    </w:p>
    <w:p w14:paraId="00000015" w14:textId="77777777" w:rsidR="00042BBF" w:rsidRDefault="00F866AE">
      <w:pPr>
        <w:pBdr>
          <w:top w:val="nil"/>
          <w:left w:val="nil"/>
          <w:bottom w:val="nil"/>
          <w:right w:val="nil"/>
          <w:between w:val="nil"/>
        </w:pBdr>
        <w:spacing w:before="96"/>
        <w:ind w:right="62"/>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b/>
          <w:color w:val="000000"/>
          <w:sz w:val="24"/>
          <w:szCs w:val="24"/>
        </w:rPr>
        <w:t xml:space="preserve">.- </w:t>
      </w:r>
      <w:r>
        <w:rPr>
          <w:rFonts w:ascii="Arial" w:eastAsia="Arial" w:hAnsi="Arial" w:cs="Arial"/>
          <w:color w:val="000000"/>
          <w:sz w:val="24"/>
          <w:szCs w:val="24"/>
        </w:rPr>
        <w:t>Los</w:t>
      </w:r>
      <w:r>
        <w:rPr>
          <w:rFonts w:ascii="Arial" w:eastAsia="Arial" w:hAnsi="Arial" w:cs="Arial"/>
          <w:b/>
          <w:color w:val="000000"/>
          <w:sz w:val="24"/>
          <w:szCs w:val="24"/>
        </w:rPr>
        <w:t xml:space="preserve"> </w:t>
      </w:r>
      <w:r>
        <w:rPr>
          <w:rFonts w:ascii="Arial" w:eastAsia="Arial" w:hAnsi="Arial" w:cs="Arial"/>
          <w:sz w:val="24"/>
          <w:szCs w:val="24"/>
        </w:rPr>
        <w:t>b</w:t>
      </w:r>
      <w:r>
        <w:rPr>
          <w:rFonts w:ascii="Arial" w:eastAsia="Arial" w:hAnsi="Arial" w:cs="Arial"/>
          <w:color w:val="000000"/>
          <w:sz w:val="24"/>
          <w:szCs w:val="24"/>
        </w:rPr>
        <w:t>iene</w:t>
      </w:r>
      <w:r>
        <w:rPr>
          <w:rFonts w:ascii="Arial" w:eastAsia="Arial" w:hAnsi="Arial" w:cs="Arial"/>
          <w:sz w:val="24"/>
          <w:szCs w:val="24"/>
        </w:rPr>
        <w:t>s</w:t>
      </w:r>
      <w:r>
        <w:rPr>
          <w:rFonts w:ascii="Arial" w:eastAsia="Arial" w:hAnsi="Arial" w:cs="Arial"/>
          <w:color w:val="000000"/>
          <w:sz w:val="24"/>
          <w:szCs w:val="24"/>
        </w:rPr>
        <w:t xml:space="preserve"> que el Instituto podrá considerar para proceder a su destrucción, </w:t>
      </w:r>
      <w:r>
        <w:rPr>
          <w:rFonts w:ascii="Arial" w:eastAsia="Arial" w:hAnsi="Arial" w:cs="Arial"/>
          <w:sz w:val="24"/>
          <w:szCs w:val="24"/>
        </w:rPr>
        <w:t>además</w:t>
      </w:r>
      <w:r>
        <w:rPr>
          <w:rFonts w:ascii="Arial" w:eastAsia="Arial" w:hAnsi="Arial" w:cs="Arial"/>
          <w:color w:val="000000"/>
          <w:sz w:val="24"/>
          <w:szCs w:val="24"/>
        </w:rPr>
        <w:t xml:space="preserve"> de</w:t>
      </w:r>
      <w:r>
        <w:rPr>
          <w:rFonts w:ascii="Arial" w:eastAsia="Arial" w:hAnsi="Arial" w:cs="Arial"/>
          <w:sz w:val="24"/>
          <w:szCs w:val="24"/>
        </w:rPr>
        <w:t xml:space="preserve"> los contenidos en la Ley, serán:</w:t>
      </w:r>
    </w:p>
    <w:p w14:paraId="00000016" w14:textId="77777777" w:rsidR="00042BBF" w:rsidRDefault="00042BBF">
      <w:pPr>
        <w:pBdr>
          <w:top w:val="nil"/>
          <w:left w:val="nil"/>
          <w:bottom w:val="nil"/>
          <w:right w:val="nil"/>
          <w:between w:val="nil"/>
        </w:pBdr>
        <w:spacing w:before="96"/>
        <w:jc w:val="both"/>
        <w:rPr>
          <w:rFonts w:ascii="Arial" w:eastAsia="Arial" w:hAnsi="Arial" w:cs="Arial"/>
          <w:sz w:val="24"/>
          <w:szCs w:val="24"/>
        </w:rPr>
      </w:pPr>
    </w:p>
    <w:p w14:paraId="00000017" w14:textId="77777777" w:rsidR="00042BBF" w:rsidRDefault="00F866AE">
      <w:pPr>
        <w:pBdr>
          <w:top w:val="nil"/>
          <w:left w:val="nil"/>
          <w:bottom w:val="nil"/>
          <w:right w:val="nil"/>
          <w:between w:val="nil"/>
        </w:pBdr>
        <w:tabs>
          <w:tab w:val="left" w:pos="860"/>
          <w:tab w:val="left" w:pos="861"/>
        </w:tabs>
        <w:spacing w:before="103"/>
        <w:ind w:right="179"/>
        <w:jc w:val="both"/>
        <w:rPr>
          <w:rFonts w:ascii="Arial" w:eastAsia="Arial" w:hAnsi="Arial" w:cs="Arial"/>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Los bienes que hayan sido decomisados o abandonados que guarden</w:t>
      </w:r>
      <w:r>
        <w:rPr>
          <w:rFonts w:ascii="Arial" w:eastAsia="Arial" w:hAnsi="Arial" w:cs="Arial"/>
          <w:sz w:val="24"/>
          <w:szCs w:val="24"/>
        </w:rPr>
        <w:t xml:space="preserve"> relación</w:t>
      </w:r>
      <w:r>
        <w:rPr>
          <w:rFonts w:ascii="Arial" w:eastAsia="Arial" w:hAnsi="Arial" w:cs="Arial"/>
          <w:color w:val="000000"/>
          <w:sz w:val="24"/>
          <w:szCs w:val="24"/>
        </w:rPr>
        <w:t xml:space="preserve"> con la comisión de delitos de propiedad industrial o derechos de autor;</w:t>
      </w:r>
    </w:p>
    <w:p w14:paraId="00000018" w14:textId="77777777" w:rsidR="00042BBF" w:rsidRDefault="00042BBF">
      <w:pPr>
        <w:pBdr>
          <w:top w:val="nil"/>
          <w:left w:val="nil"/>
          <w:bottom w:val="nil"/>
          <w:right w:val="nil"/>
          <w:between w:val="nil"/>
        </w:pBdr>
        <w:tabs>
          <w:tab w:val="left" w:pos="860"/>
          <w:tab w:val="left" w:pos="861"/>
        </w:tabs>
        <w:spacing w:before="103"/>
        <w:ind w:right="179"/>
        <w:jc w:val="both"/>
        <w:rPr>
          <w:rFonts w:ascii="Arial" w:eastAsia="Arial" w:hAnsi="Arial" w:cs="Arial"/>
          <w:sz w:val="24"/>
          <w:szCs w:val="24"/>
        </w:rPr>
      </w:pPr>
    </w:p>
    <w:p w14:paraId="00000019" w14:textId="77777777" w:rsidR="00042BBF" w:rsidRDefault="00F866AE">
      <w:pPr>
        <w:tabs>
          <w:tab w:val="left" w:pos="860"/>
          <w:tab w:val="left" w:pos="861"/>
        </w:tabs>
        <w:spacing w:before="90"/>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Los que por su conservación no se les pueda dar otra utilidad;</w:t>
      </w:r>
    </w:p>
    <w:p w14:paraId="0000001A" w14:textId="77777777" w:rsidR="00042BBF" w:rsidRDefault="00042BBF">
      <w:pPr>
        <w:tabs>
          <w:tab w:val="left" w:pos="860"/>
          <w:tab w:val="left" w:pos="861"/>
        </w:tabs>
        <w:spacing w:before="90"/>
        <w:jc w:val="both"/>
        <w:rPr>
          <w:rFonts w:ascii="Arial" w:eastAsia="Arial" w:hAnsi="Arial" w:cs="Arial"/>
          <w:sz w:val="24"/>
          <w:szCs w:val="24"/>
        </w:rPr>
      </w:pPr>
    </w:p>
    <w:p w14:paraId="0000001B" w14:textId="77777777" w:rsidR="00042BBF" w:rsidRDefault="00F866AE">
      <w:pPr>
        <w:tabs>
          <w:tab w:val="left" w:pos="860"/>
          <w:tab w:val="left" w:pos="861"/>
        </w:tabs>
        <w:spacing w:before="103"/>
        <w:ind w:right="286"/>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Bienes que sean incosteables;</w:t>
      </w:r>
    </w:p>
    <w:p w14:paraId="0000001C" w14:textId="77777777" w:rsidR="00042BBF" w:rsidRDefault="00042BBF">
      <w:pPr>
        <w:tabs>
          <w:tab w:val="left" w:pos="860"/>
          <w:tab w:val="left" w:pos="861"/>
        </w:tabs>
        <w:spacing w:before="103"/>
        <w:ind w:right="286"/>
        <w:jc w:val="both"/>
        <w:rPr>
          <w:rFonts w:ascii="Arial" w:eastAsia="Arial" w:hAnsi="Arial" w:cs="Arial"/>
          <w:sz w:val="24"/>
          <w:szCs w:val="24"/>
        </w:rPr>
      </w:pPr>
    </w:p>
    <w:p w14:paraId="0000001D" w14:textId="77777777" w:rsidR="00042BBF" w:rsidRDefault="00F866AE">
      <w:pPr>
        <w:tabs>
          <w:tab w:val="left" w:pos="860"/>
          <w:tab w:val="left" w:pos="861"/>
        </w:tabs>
        <w:spacing w:before="66"/>
        <w:ind w:right="164"/>
        <w:jc w:val="both"/>
        <w:rPr>
          <w:rFonts w:ascii="Arial" w:eastAsia="Arial" w:hAnsi="Arial" w:cs="Arial"/>
          <w:sz w:val="24"/>
          <w:szCs w:val="24"/>
        </w:rPr>
      </w:pPr>
      <w:r>
        <w:rPr>
          <w:rFonts w:ascii="Arial" w:eastAsia="Arial" w:hAnsi="Arial" w:cs="Arial"/>
          <w:b/>
          <w:sz w:val="24"/>
          <w:szCs w:val="24"/>
        </w:rPr>
        <w:t>IV.-</w:t>
      </w:r>
      <w:r>
        <w:rPr>
          <w:rFonts w:ascii="Arial" w:eastAsia="Arial" w:hAnsi="Arial" w:cs="Arial"/>
          <w:color w:val="000000"/>
          <w:sz w:val="24"/>
          <w:szCs w:val="24"/>
        </w:rPr>
        <w:t xml:space="preserve"> Bienes</w:t>
      </w:r>
      <w:r>
        <w:rPr>
          <w:rFonts w:ascii="Arial" w:eastAsia="Arial" w:hAnsi="Arial" w:cs="Arial"/>
          <w:sz w:val="24"/>
          <w:szCs w:val="24"/>
        </w:rPr>
        <w:t xml:space="preserve"> en los que se hayan </w:t>
      </w:r>
      <w:r>
        <w:rPr>
          <w:rFonts w:ascii="Arial" w:eastAsia="Arial" w:hAnsi="Arial" w:cs="Arial"/>
          <w:color w:val="000000"/>
          <w:sz w:val="24"/>
          <w:szCs w:val="24"/>
        </w:rPr>
        <w:t>agotado todos los procedimientos de enajenación</w:t>
      </w:r>
      <w:r>
        <w:rPr>
          <w:rFonts w:ascii="Arial" w:eastAsia="Arial" w:hAnsi="Arial" w:cs="Arial"/>
          <w:sz w:val="24"/>
          <w:szCs w:val="24"/>
        </w:rPr>
        <w:t>, y que no exista interés de alguna persona en obtenerlos.</w:t>
      </w:r>
    </w:p>
    <w:p w14:paraId="0000001E" w14:textId="77777777" w:rsidR="00042BBF" w:rsidRDefault="00042BBF">
      <w:pPr>
        <w:tabs>
          <w:tab w:val="left" w:pos="860"/>
          <w:tab w:val="left" w:pos="861"/>
        </w:tabs>
        <w:spacing w:before="66"/>
        <w:ind w:right="164"/>
        <w:jc w:val="both"/>
        <w:rPr>
          <w:rFonts w:ascii="Arial" w:eastAsia="Arial" w:hAnsi="Arial" w:cs="Arial"/>
          <w:sz w:val="24"/>
          <w:szCs w:val="24"/>
        </w:rPr>
      </w:pPr>
    </w:p>
    <w:p w14:paraId="0000001F" w14:textId="77777777" w:rsidR="00042BBF" w:rsidRDefault="00F866AE">
      <w:pPr>
        <w:tabs>
          <w:tab w:val="left" w:pos="860"/>
          <w:tab w:val="left" w:pos="861"/>
        </w:tabs>
        <w:spacing w:before="66"/>
        <w:ind w:right="164"/>
        <w:jc w:val="both"/>
        <w:rPr>
          <w:rFonts w:ascii="Arial" w:eastAsia="Arial" w:hAnsi="Arial" w:cs="Arial"/>
          <w:color w:val="000000"/>
          <w:sz w:val="24"/>
          <w:szCs w:val="24"/>
        </w:rPr>
      </w:pPr>
      <w:r>
        <w:rPr>
          <w:rFonts w:ascii="Arial" w:eastAsia="Arial" w:hAnsi="Arial" w:cs="Arial"/>
          <w:sz w:val="24"/>
          <w:szCs w:val="24"/>
        </w:rPr>
        <w:t xml:space="preserve">En este </w:t>
      </w:r>
      <w:r>
        <w:rPr>
          <w:rFonts w:ascii="Arial" w:eastAsia="Arial" w:hAnsi="Arial" w:cs="Arial"/>
          <w:color w:val="000000"/>
          <w:sz w:val="24"/>
          <w:szCs w:val="24"/>
        </w:rPr>
        <w:t>supues</w:t>
      </w:r>
      <w:r>
        <w:rPr>
          <w:rFonts w:ascii="Arial" w:eastAsia="Arial" w:hAnsi="Arial" w:cs="Arial"/>
          <w:sz w:val="24"/>
          <w:szCs w:val="24"/>
        </w:rPr>
        <w:t>to</w:t>
      </w:r>
      <w:r>
        <w:rPr>
          <w:rFonts w:ascii="Arial" w:eastAsia="Arial" w:hAnsi="Arial" w:cs="Arial"/>
          <w:color w:val="000000"/>
          <w:sz w:val="24"/>
          <w:szCs w:val="24"/>
        </w:rPr>
        <w:t xml:space="preserve"> </w:t>
      </w:r>
      <w:r>
        <w:rPr>
          <w:rFonts w:ascii="Arial" w:eastAsia="Arial" w:hAnsi="Arial" w:cs="Arial"/>
          <w:sz w:val="24"/>
          <w:szCs w:val="24"/>
        </w:rPr>
        <w:t>se</w:t>
      </w:r>
      <w:r>
        <w:rPr>
          <w:rFonts w:ascii="Arial" w:eastAsia="Arial" w:hAnsi="Arial" w:cs="Arial"/>
          <w:color w:val="000000"/>
          <w:sz w:val="24"/>
          <w:szCs w:val="24"/>
        </w:rPr>
        <w:t xml:space="preserve"> deberá </w:t>
      </w:r>
      <w:r>
        <w:rPr>
          <w:rFonts w:ascii="Arial" w:eastAsia="Arial" w:hAnsi="Arial" w:cs="Arial"/>
          <w:sz w:val="24"/>
          <w:szCs w:val="24"/>
        </w:rPr>
        <w:t>contar</w:t>
      </w:r>
      <w:r>
        <w:rPr>
          <w:rFonts w:ascii="Arial" w:eastAsia="Arial" w:hAnsi="Arial" w:cs="Arial"/>
          <w:color w:val="000000"/>
          <w:sz w:val="24"/>
          <w:szCs w:val="24"/>
        </w:rPr>
        <w:t xml:space="preserve"> con las constancias correspondientes</w:t>
      </w:r>
      <w:r>
        <w:rPr>
          <w:rFonts w:ascii="Arial" w:eastAsia="Arial" w:hAnsi="Arial" w:cs="Arial"/>
          <w:sz w:val="24"/>
          <w:szCs w:val="24"/>
        </w:rPr>
        <w:t>;</w:t>
      </w:r>
      <w:r>
        <w:rPr>
          <w:rFonts w:ascii="Arial" w:eastAsia="Arial" w:hAnsi="Arial" w:cs="Arial"/>
          <w:b/>
          <w:color w:val="000000"/>
          <w:sz w:val="24"/>
          <w:szCs w:val="24"/>
        </w:rPr>
        <w:t xml:space="preserve"> </w:t>
      </w:r>
      <w:r>
        <w:rPr>
          <w:rFonts w:ascii="Arial" w:eastAsia="Arial" w:hAnsi="Arial" w:cs="Arial"/>
          <w:sz w:val="24"/>
          <w:szCs w:val="24"/>
        </w:rPr>
        <w:t>y</w:t>
      </w:r>
    </w:p>
    <w:p w14:paraId="00000020" w14:textId="77777777" w:rsidR="00042BBF" w:rsidRDefault="00042BBF">
      <w:pPr>
        <w:tabs>
          <w:tab w:val="left" w:pos="860"/>
          <w:tab w:val="left" w:pos="861"/>
        </w:tabs>
        <w:spacing w:before="66"/>
        <w:ind w:right="164"/>
        <w:jc w:val="both"/>
        <w:rPr>
          <w:rFonts w:ascii="Arial" w:eastAsia="Arial" w:hAnsi="Arial" w:cs="Arial"/>
          <w:b/>
          <w:sz w:val="24"/>
          <w:szCs w:val="24"/>
        </w:rPr>
      </w:pPr>
    </w:p>
    <w:p w14:paraId="00000021" w14:textId="77777777" w:rsidR="00042BBF" w:rsidRDefault="00F866AE">
      <w:pPr>
        <w:tabs>
          <w:tab w:val="left" w:pos="860"/>
          <w:tab w:val="left" w:pos="861"/>
        </w:tabs>
        <w:spacing w:before="109"/>
        <w:ind w:right="514"/>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Los demás casos que determine la Junta de Gobierno.</w:t>
      </w:r>
    </w:p>
    <w:p w14:paraId="00000022" w14:textId="77777777" w:rsidR="00042BBF" w:rsidRDefault="00042BBF">
      <w:pPr>
        <w:tabs>
          <w:tab w:val="left" w:pos="860"/>
          <w:tab w:val="left" w:pos="861"/>
        </w:tabs>
        <w:spacing w:before="109"/>
        <w:ind w:right="514"/>
        <w:jc w:val="both"/>
        <w:rPr>
          <w:rFonts w:ascii="Arial" w:eastAsia="Arial" w:hAnsi="Arial" w:cs="Arial"/>
          <w:sz w:val="24"/>
          <w:szCs w:val="24"/>
        </w:rPr>
      </w:pPr>
    </w:p>
    <w:p w14:paraId="00000023" w14:textId="77777777" w:rsidR="00042BBF" w:rsidRDefault="00F866AE">
      <w:pPr>
        <w:tabs>
          <w:tab w:val="left" w:pos="860"/>
          <w:tab w:val="left" w:pos="861"/>
        </w:tabs>
        <w:spacing w:before="109"/>
        <w:ind w:right="60"/>
        <w:jc w:val="both"/>
        <w:rPr>
          <w:rFonts w:ascii="Arial" w:eastAsia="Arial" w:hAnsi="Arial" w:cs="Arial"/>
          <w:sz w:val="24"/>
          <w:szCs w:val="24"/>
        </w:rPr>
      </w:pPr>
      <w:r>
        <w:rPr>
          <w:rFonts w:ascii="Arial" w:eastAsia="Arial" w:hAnsi="Arial" w:cs="Arial"/>
          <w:sz w:val="24"/>
          <w:szCs w:val="24"/>
        </w:rPr>
        <w:t>Para los supuestos anteriores se deberá presentar a consideración de la Junta de Gobierno el dictamen correspondiente, previa autorización de la Persona Titular de la Dirección General del Instituto.</w:t>
      </w:r>
    </w:p>
    <w:p w14:paraId="00000024" w14:textId="77777777" w:rsidR="00042BBF" w:rsidRDefault="00042BBF">
      <w:pPr>
        <w:tabs>
          <w:tab w:val="left" w:pos="860"/>
          <w:tab w:val="left" w:pos="861"/>
        </w:tabs>
        <w:spacing w:before="109" w:line="252" w:lineRule="auto"/>
        <w:ind w:right="514"/>
        <w:jc w:val="both"/>
        <w:rPr>
          <w:rFonts w:ascii="Arial" w:eastAsia="Arial" w:hAnsi="Arial" w:cs="Arial"/>
          <w:sz w:val="24"/>
          <w:szCs w:val="24"/>
        </w:rPr>
      </w:pPr>
    </w:p>
    <w:p w14:paraId="00000025" w14:textId="77777777" w:rsidR="00042BBF" w:rsidRDefault="00F866AE">
      <w:pPr>
        <w:pBdr>
          <w:top w:val="nil"/>
          <w:left w:val="nil"/>
          <w:bottom w:val="nil"/>
          <w:right w:val="nil"/>
          <w:between w:val="nil"/>
        </w:pBdr>
        <w:spacing w:before="93" w:line="252" w:lineRule="auto"/>
        <w:ind w:right="134"/>
        <w:jc w:val="both"/>
        <w:rPr>
          <w:rFonts w:ascii="Arial" w:eastAsia="Arial" w:hAnsi="Arial" w:cs="Arial"/>
          <w:sz w:val="24"/>
          <w:szCs w:val="24"/>
        </w:rPr>
      </w:pPr>
      <w:r>
        <w:rPr>
          <w:rFonts w:ascii="Arial" w:eastAsia="Arial" w:hAnsi="Arial" w:cs="Arial"/>
          <w:b/>
          <w:sz w:val="24"/>
          <w:szCs w:val="24"/>
        </w:rPr>
        <w:lastRenderedPageBreak/>
        <w:t>Artículo 2.-</w:t>
      </w:r>
      <w:r>
        <w:rPr>
          <w:rFonts w:ascii="Arial" w:eastAsia="Arial" w:hAnsi="Arial" w:cs="Arial"/>
          <w:b/>
          <w:color w:val="000000"/>
          <w:sz w:val="24"/>
          <w:szCs w:val="24"/>
        </w:rPr>
        <w:t xml:space="preserve"> </w:t>
      </w:r>
      <w:r>
        <w:rPr>
          <w:rFonts w:ascii="Arial" w:eastAsia="Arial" w:hAnsi="Arial" w:cs="Arial"/>
          <w:sz w:val="24"/>
          <w:szCs w:val="24"/>
        </w:rPr>
        <w:t>Para los presentes lineamientos, se entenderá por:</w:t>
      </w:r>
    </w:p>
    <w:p w14:paraId="00000026" w14:textId="77777777" w:rsidR="00042BBF" w:rsidRDefault="00042BBF">
      <w:pPr>
        <w:pBdr>
          <w:top w:val="nil"/>
          <w:left w:val="nil"/>
          <w:bottom w:val="nil"/>
          <w:right w:val="nil"/>
          <w:between w:val="nil"/>
        </w:pBdr>
        <w:spacing w:before="93" w:line="252" w:lineRule="auto"/>
        <w:ind w:right="134"/>
        <w:jc w:val="both"/>
        <w:rPr>
          <w:rFonts w:ascii="Arial" w:eastAsia="Arial" w:hAnsi="Arial" w:cs="Arial"/>
          <w:sz w:val="24"/>
          <w:szCs w:val="24"/>
        </w:rPr>
      </w:pPr>
    </w:p>
    <w:p w14:paraId="00000027" w14:textId="77777777" w:rsidR="00042BBF" w:rsidRDefault="00F866AE">
      <w:pPr>
        <w:pBdr>
          <w:top w:val="nil"/>
          <w:left w:val="nil"/>
          <w:bottom w:val="nil"/>
          <w:right w:val="nil"/>
          <w:between w:val="nil"/>
        </w:pBdr>
        <w:spacing w:before="93" w:line="252" w:lineRule="auto"/>
        <w:ind w:right="134"/>
        <w:jc w:val="both"/>
        <w:rPr>
          <w:rFonts w:ascii="Arial" w:eastAsia="Arial" w:hAnsi="Arial" w:cs="Arial"/>
          <w:color w:val="2F2F2F"/>
          <w:sz w:val="24"/>
          <w:szCs w:val="24"/>
        </w:rPr>
      </w:pPr>
      <w:r>
        <w:rPr>
          <w:rFonts w:ascii="Arial" w:eastAsia="Arial" w:hAnsi="Arial" w:cs="Arial"/>
          <w:b/>
          <w:sz w:val="24"/>
          <w:szCs w:val="24"/>
        </w:rPr>
        <w:t xml:space="preserve">I.- INSTITUTO: </w:t>
      </w:r>
      <w:r>
        <w:rPr>
          <w:rFonts w:ascii="Arial" w:eastAsia="Arial" w:hAnsi="Arial" w:cs="Arial"/>
          <w:color w:val="2F2F2F"/>
          <w:sz w:val="24"/>
          <w:szCs w:val="24"/>
        </w:rPr>
        <w:t>Al Organismo Descentralizado de la Administración Pública Estatal, denominado Instituto Hidalguense para Devolver al Pueblo lo Robado;</w:t>
      </w:r>
    </w:p>
    <w:p w14:paraId="00000028" w14:textId="77777777" w:rsidR="00042BBF" w:rsidRDefault="00042BBF">
      <w:pPr>
        <w:pBdr>
          <w:top w:val="nil"/>
          <w:left w:val="nil"/>
          <w:bottom w:val="nil"/>
          <w:right w:val="nil"/>
          <w:between w:val="nil"/>
        </w:pBdr>
        <w:spacing w:before="93" w:line="252" w:lineRule="auto"/>
        <w:ind w:right="134"/>
        <w:jc w:val="both"/>
        <w:rPr>
          <w:rFonts w:ascii="Arial" w:eastAsia="Arial" w:hAnsi="Arial" w:cs="Arial"/>
          <w:sz w:val="24"/>
          <w:szCs w:val="24"/>
        </w:rPr>
      </w:pPr>
    </w:p>
    <w:p w14:paraId="00000029" w14:textId="77777777" w:rsidR="00042BBF" w:rsidRDefault="00F866AE">
      <w:pPr>
        <w:pBdr>
          <w:top w:val="nil"/>
          <w:left w:val="nil"/>
          <w:bottom w:val="nil"/>
          <w:right w:val="nil"/>
          <w:between w:val="nil"/>
        </w:pBdr>
        <w:spacing w:before="93" w:line="252" w:lineRule="auto"/>
        <w:ind w:right="134"/>
        <w:jc w:val="both"/>
        <w:rPr>
          <w:rFonts w:ascii="Arial" w:eastAsia="Arial" w:hAnsi="Arial" w:cs="Arial"/>
          <w:sz w:val="24"/>
          <w:szCs w:val="24"/>
        </w:rPr>
      </w:pPr>
      <w:r>
        <w:rPr>
          <w:rFonts w:ascii="Arial" w:eastAsia="Arial" w:hAnsi="Arial" w:cs="Arial"/>
          <w:b/>
          <w:sz w:val="24"/>
          <w:szCs w:val="24"/>
        </w:rPr>
        <w:t xml:space="preserve">II.- LA PERSONA TITULAR DE LA DIRECCIÓN GENERAL DEL INSTITUTO: </w:t>
      </w:r>
      <w:r>
        <w:rPr>
          <w:rFonts w:ascii="Arial" w:eastAsia="Arial" w:hAnsi="Arial" w:cs="Arial"/>
          <w:sz w:val="24"/>
          <w:szCs w:val="24"/>
        </w:rPr>
        <w:t xml:space="preserve">Al Director General del Instituto Hidalguense para Devolver al Pueblo lo Robado; </w:t>
      </w:r>
    </w:p>
    <w:p w14:paraId="0000002A" w14:textId="77777777" w:rsidR="00042BBF" w:rsidRDefault="00042BBF">
      <w:pPr>
        <w:pBdr>
          <w:top w:val="nil"/>
          <w:left w:val="nil"/>
          <w:bottom w:val="nil"/>
          <w:right w:val="nil"/>
          <w:between w:val="nil"/>
        </w:pBdr>
        <w:spacing w:before="93" w:line="252" w:lineRule="auto"/>
        <w:ind w:right="134"/>
        <w:jc w:val="both"/>
        <w:rPr>
          <w:rFonts w:ascii="Arial" w:eastAsia="Arial" w:hAnsi="Arial" w:cs="Arial"/>
          <w:b/>
          <w:sz w:val="24"/>
          <w:szCs w:val="24"/>
        </w:rPr>
      </w:pPr>
    </w:p>
    <w:p w14:paraId="0000002B" w14:textId="77777777" w:rsidR="00042BBF" w:rsidRDefault="00F866AE">
      <w:pPr>
        <w:pBdr>
          <w:top w:val="nil"/>
          <w:left w:val="nil"/>
          <w:bottom w:val="nil"/>
          <w:right w:val="nil"/>
          <w:between w:val="nil"/>
        </w:pBdr>
        <w:spacing w:before="93" w:line="252" w:lineRule="auto"/>
        <w:ind w:right="134"/>
        <w:jc w:val="both"/>
        <w:rPr>
          <w:rFonts w:ascii="Arial" w:eastAsia="Arial" w:hAnsi="Arial" w:cs="Arial"/>
          <w:sz w:val="24"/>
          <w:szCs w:val="24"/>
        </w:rPr>
      </w:pPr>
      <w:r>
        <w:rPr>
          <w:rFonts w:ascii="Arial" w:eastAsia="Arial" w:hAnsi="Arial" w:cs="Arial"/>
          <w:b/>
          <w:sz w:val="24"/>
          <w:szCs w:val="24"/>
        </w:rPr>
        <w:t xml:space="preserve">III.- LEY: </w:t>
      </w:r>
      <w:r>
        <w:rPr>
          <w:rFonts w:ascii="Arial" w:eastAsia="Arial" w:hAnsi="Arial" w:cs="Arial"/>
          <w:sz w:val="24"/>
          <w:szCs w:val="24"/>
        </w:rPr>
        <w:t>A la Ley para la Administración y Destino de Bienes Asegurados, Abandonados, Decomisados y Extinción de Dominio; y</w:t>
      </w:r>
    </w:p>
    <w:p w14:paraId="0000002C" w14:textId="77777777" w:rsidR="00042BBF" w:rsidRDefault="00042BBF">
      <w:pPr>
        <w:pBdr>
          <w:top w:val="nil"/>
          <w:left w:val="nil"/>
          <w:bottom w:val="nil"/>
          <w:right w:val="nil"/>
          <w:between w:val="nil"/>
        </w:pBdr>
        <w:spacing w:before="93" w:line="252" w:lineRule="auto"/>
        <w:ind w:right="134"/>
        <w:jc w:val="both"/>
        <w:rPr>
          <w:rFonts w:ascii="Arial" w:eastAsia="Arial" w:hAnsi="Arial" w:cs="Arial"/>
          <w:sz w:val="24"/>
          <w:szCs w:val="24"/>
        </w:rPr>
      </w:pPr>
    </w:p>
    <w:p w14:paraId="0000002D" w14:textId="77777777" w:rsidR="00042BBF" w:rsidRDefault="00F866AE">
      <w:pPr>
        <w:tabs>
          <w:tab w:val="left" w:pos="860"/>
          <w:tab w:val="left" w:pos="861"/>
        </w:tabs>
        <w:spacing w:before="89" w:line="244" w:lineRule="auto"/>
        <w:ind w:right="176"/>
        <w:jc w:val="both"/>
        <w:rPr>
          <w:rFonts w:ascii="Arial" w:eastAsia="Arial" w:hAnsi="Arial" w:cs="Arial"/>
          <w:i/>
          <w:sz w:val="24"/>
          <w:szCs w:val="24"/>
        </w:rPr>
      </w:pPr>
      <w:r>
        <w:rPr>
          <w:rFonts w:ascii="Arial" w:eastAsia="Arial" w:hAnsi="Arial" w:cs="Arial"/>
          <w:b/>
          <w:sz w:val="24"/>
          <w:szCs w:val="24"/>
        </w:rPr>
        <w:t>IV.-</w:t>
      </w:r>
      <w:r>
        <w:rPr>
          <w:rFonts w:ascii="Arial" w:eastAsia="Arial" w:hAnsi="Arial" w:cs="Arial"/>
          <w:sz w:val="24"/>
          <w:szCs w:val="24"/>
        </w:rPr>
        <w:t xml:space="preserve"> </w:t>
      </w:r>
      <w:r>
        <w:rPr>
          <w:rFonts w:ascii="Arial" w:eastAsia="Arial" w:hAnsi="Arial" w:cs="Arial"/>
          <w:b/>
          <w:sz w:val="24"/>
          <w:szCs w:val="24"/>
        </w:rPr>
        <w:t>FISCALÍA:</w:t>
      </w:r>
      <w:r>
        <w:rPr>
          <w:rFonts w:ascii="Arial" w:eastAsia="Arial" w:hAnsi="Arial" w:cs="Arial"/>
          <w:sz w:val="24"/>
          <w:szCs w:val="24"/>
        </w:rPr>
        <w:t xml:space="preserve"> A la Fiscalía General de Justicia en el Estado de Hidalgo.</w:t>
      </w:r>
    </w:p>
    <w:p w14:paraId="0000002E" w14:textId="77777777" w:rsidR="00042BBF" w:rsidRDefault="00042BBF">
      <w:pPr>
        <w:pBdr>
          <w:top w:val="nil"/>
          <w:left w:val="nil"/>
          <w:bottom w:val="nil"/>
          <w:right w:val="nil"/>
          <w:between w:val="nil"/>
        </w:pBdr>
        <w:spacing w:before="93" w:line="252" w:lineRule="auto"/>
        <w:ind w:right="134"/>
        <w:jc w:val="both"/>
        <w:rPr>
          <w:rFonts w:ascii="Arial" w:eastAsia="Arial" w:hAnsi="Arial" w:cs="Arial"/>
          <w:sz w:val="24"/>
          <w:szCs w:val="24"/>
        </w:rPr>
      </w:pPr>
    </w:p>
    <w:p w14:paraId="0000002F" w14:textId="77777777" w:rsidR="00042BBF" w:rsidRDefault="00F866AE">
      <w:pPr>
        <w:pBdr>
          <w:top w:val="nil"/>
          <w:left w:val="nil"/>
          <w:bottom w:val="nil"/>
          <w:right w:val="nil"/>
          <w:between w:val="nil"/>
        </w:pBdr>
        <w:spacing w:before="93" w:line="252" w:lineRule="auto"/>
        <w:ind w:right="134"/>
        <w:jc w:val="both"/>
        <w:rPr>
          <w:rFonts w:ascii="Arial" w:eastAsia="Arial" w:hAnsi="Arial" w:cs="Arial"/>
          <w:color w:val="000000"/>
          <w:sz w:val="24"/>
          <w:szCs w:val="24"/>
        </w:rPr>
      </w:pPr>
      <w:r>
        <w:rPr>
          <w:rFonts w:ascii="Arial" w:eastAsia="Arial" w:hAnsi="Arial" w:cs="Arial"/>
          <w:b/>
          <w:sz w:val="24"/>
          <w:szCs w:val="24"/>
        </w:rPr>
        <w:t xml:space="preserve">Artículo 3.- </w:t>
      </w:r>
      <w:r>
        <w:rPr>
          <w:rFonts w:ascii="Arial" w:eastAsia="Arial" w:hAnsi="Arial" w:cs="Arial"/>
          <w:sz w:val="24"/>
          <w:szCs w:val="24"/>
        </w:rPr>
        <w:t>Para</w:t>
      </w:r>
      <w:r>
        <w:rPr>
          <w:rFonts w:ascii="Arial" w:eastAsia="Arial" w:hAnsi="Arial" w:cs="Arial"/>
          <w:color w:val="000000"/>
          <w:sz w:val="24"/>
          <w:szCs w:val="24"/>
        </w:rPr>
        <w:t xml:space="preserve"> la </w:t>
      </w:r>
      <w:r>
        <w:rPr>
          <w:rFonts w:ascii="Arial" w:eastAsia="Arial" w:hAnsi="Arial" w:cs="Arial"/>
          <w:sz w:val="24"/>
          <w:szCs w:val="24"/>
        </w:rPr>
        <w:t>destrucción de los bienes,</w:t>
      </w:r>
      <w:r>
        <w:rPr>
          <w:rFonts w:ascii="Arial" w:eastAsia="Arial" w:hAnsi="Arial" w:cs="Arial"/>
          <w:color w:val="000000"/>
          <w:sz w:val="24"/>
          <w:szCs w:val="24"/>
        </w:rPr>
        <w:t xml:space="preserve"> deberá prevalecer el método o forma más ecológica, </w:t>
      </w:r>
      <w:r>
        <w:rPr>
          <w:rFonts w:ascii="Arial" w:eastAsia="Arial" w:hAnsi="Arial" w:cs="Arial"/>
          <w:sz w:val="24"/>
          <w:szCs w:val="24"/>
        </w:rPr>
        <w:t xml:space="preserve">observando siempre la seguridad, salud, y protección del medio ambiente </w:t>
      </w:r>
      <w:r>
        <w:rPr>
          <w:rFonts w:ascii="Arial" w:eastAsia="Arial" w:hAnsi="Arial" w:cs="Arial"/>
          <w:color w:val="000000"/>
          <w:sz w:val="24"/>
          <w:szCs w:val="24"/>
        </w:rPr>
        <w:t>a fin de minimizar los riesgos que pudieren ocasionar algún</w:t>
      </w:r>
      <w:r>
        <w:rPr>
          <w:rFonts w:ascii="Arial" w:eastAsia="Arial" w:hAnsi="Arial" w:cs="Arial"/>
          <w:sz w:val="24"/>
          <w:szCs w:val="24"/>
        </w:rPr>
        <w:t xml:space="preserve"> daño al</w:t>
      </w:r>
      <w:r>
        <w:rPr>
          <w:rFonts w:ascii="Arial" w:eastAsia="Arial" w:hAnsi="Arial" w:cs="Arial"/>
          <w:color w:val="000000"/>
          <w:sz w:val="24"/>
          <w:szCs w:val="24"/>
        </w:rPr>
        <w:t xml:space="preserve"> ser humano, y a su entorno.</w:t>
      </w:r>
    </w:p>
    <w:p w14:paraId="00000030" w14:textId="77777777" w:rsidR="00042BBF" w:rsidRDefault="00042BBF">
      <w:pPr>
        <w:pBdr>
          <w:top w:val="nil"/>
          <w:left w:val="nil"/>
          <w:bottom w:val="nil"/>
          <w:right w:val="nil"/>
          <w:between w:val="nil"/>
        </w:pBdr>
        <w:spacing w:before="93" w:line="252" w:lineRule="auto"/>
        <w:ind w:right="134"/>
        <w:jc w:val="both"/>
        <w:rPr>
          <w:rFonts w:ascii="Arial" w:eastAsia="Arial" w:hAnsi="Arial" w:cs="Arial"/>
          <w:color w:val="000000"/>
          <w:sz w:val="24"/>
          <w:szCs w:val="24"/>
        </w:rPr>
      </w:pPr>
    </w:p>
    <w:p w14:paraId="00000031" w14:textId="77777777" w:rsidR="00042BBF" w:rsidRDefault="00F866AE">
      <w:pPr>
        <w:pBdr>
          <w:top w:val="nil"/>
          <w:left w:val="nil"/>
          <w:bottom w:val="nil"/>
          <w:right w:val="nil"/>
          <w:between w:val="nil"/>
        </w:pBdr>
        <w:spacing w:before="93" w:line="252" w:lineRule="auto"/>
        <w:ind w:right="134"/>
        <w:jc w:val="both"/>
        <w:rPr>
          <w:rFonts w:ascii="Arial" w:eastAsia="Arial" w:hAnsi="Arial" w:cs="Arial"/>
          <w:color w:val="000000"/>
          <w:sz w:val="24"/>
          <w:szCs w:val="24"/>
        </w:rPr>
      </w:pPr>
      <w:r>
        <w:rPr>
          <w:rFonts w:ascii="Arial" w:eastAsia="Arial" w:hAnsi="Arial" w:cs="Arial"/>
          <w:color w:val="000000"/>
          <w:sz w:val="24"/>
          <w:szCs w:val="24"/>
        </w:rPr>
        <w:t>Asimismo, el método que se</w:t>
      </w:r>
      <w:r>
        <w:rPr>
          <w:rFonts w:ascii="Arial" w:eastAsia="Arial" w:hAnsi="Arial" w:cs="Arial"/>
          <w:sz w:val="24"/>
          <w:szCs w:val="24"/>
        </w:rPr>
        <w:t>a utilizado</w:t>
      </w:r>
      <w:r>
        <w:rPr>
          <w:rFonts w:ascii="Arial" w:eastAsia="Arial" w:hAnsi="Arial" w:cs="Arial"/>
          <w:color w:val="000000"/>
          <w:sz w:val="24"/>
          <w:szCs w:val="24"/>
        </w:rPr>
        <w:t xml:space="preserve"> </w:t>
      </w:r>
      <w:r>
        <w:rPr>
          <w:rFonts w:ascii="Arial" w:eastAsia="Arial" w:hAnsi="Arial" w:cs="Arial"/>
          <w:sz w:val="24"/>
          <w:szCs w:val="24"/>
        </w:rPr>
        <w:t>para la destrucción de los bienes,</w:t>
      </w:r>
      <w:r>
        <w:rPr>
          <w:rFonts w:ascii="Arial" w:eastAsia="Arial" w:hAnsi="Arial" w:cs="Arial"/>
          <w:color w:val="000000"/>
          <w:sz w:val="24"/>
          <w:szCs w:val="24"/>
        </w:rPr>
        <w:t xml:space="preserve"> no deberá oponerse a las normas oficiales </w:t>
      </w:r>
      <w:proofErr w:type="gramStart"/>
      <w:r>
        <w:rPr>
          <w:rFonts w:ascii="Arial" w:eastAsia="Arial" w:hAnsi="Arial" w:cs="Arial"/>
          <w:sz w:val="24"/>
          <w:szCs w:val="24"/>
        </w:rPr>
        <w:t>de</w:t>
      </w:r>
      <w:r>
        <w:rPr>
          <w:rFonts w:ascii="Arial" w:eastAsia="Arial" w:hAnsi="Arial" w:cs="Arial"/>
          <w:color w:val="000000"/>
          <w:sz w:val="24"/>
          <w:szCs w:val="24"/>
        </w:rPr>
        <w:t xml:space="preserve"> los </w:t>
      </w:r>
      <w:r>
        <w:rPr>
          <w:rFonts w:ascii="Arial" w:eastAsia="Arial" w:hAnsi="Arial" w:cs="Arial"/>
          <w:sz w:val="24"/>
          <w:szCs w:val="24"/>
        </w:rPr>
        <w:t>g</w:t>
      </w:r>
      <w:r>
        <w:rPr>
          <w:rFonts w:ascii="Arial" w:eastAsia="Arial" w:hAnsi="Arial" w:cs="Arial"/>
          <w:color w:val="000000"/>
          <w:sz w:val="24"/>
          <w:szCs w:val="24"/>
        </w:rPr>
        <w:t xml:space="preserve">obiernos </w:t>
      </w:r>
      <w:r>
        <w:rPr>
          <w:rFonts w:ascii="Arial" w:eastAsia="Arial" w:hAnsi="Arial" w:cs="Arial"/>
          <w:sz w:val="24"/>
          <w:szCs w:val="24"/>
        </w:rPr>
        <w:t>f</w:t>
      </w:r>
      <w:r>
        <w:rPr>
          <w:rFonts w:ascii="Arial" w:eastAsia="Arial" w:hAnsi="Arial" w:cs="Arial"/>
          <w:color w:val="000000"/>
          <w:sz w:val="24"/>
          <w:szCs w:val="24"/>
        </w:rPr>
        <w:t>ederal, estatales y municipales</w:t>
      </w:r>
      <w:proofErr w:type="gramEnd"/>
      <w:r>
        <w:rPr>
          <w:rFonts w:ascii="Arial" w:eastAsia="Arial" w:hAnsi="Arial" w:cs="Arial"/>
          <w:color w:val="000000"/>
          <w:sz w:val="24"/>
          <w:szCs w:val="24"/>
        </w:rPr>
        <w:t>.</w:t>
      </w:r>
    </w:p>
    <w:p w14:paraId="00000032" w14:textId="77777777" w:rsidR="00042BBF" w:rsidRDefault="00042BBF">
      <w:pPr>
        <w:pBdr>
          <w:top w:val="nil"/>
          <w:left w:val="nil"/>
          <w:bottom w:val="nil"/>
          <w:right w:val="nil"/>
          <w:between w:val="nil"/>
        </w:pBdr>
        <w:spacing w:before="99" w:line="252" w:lineRule="auto"/>
        <w:ind w:right="143"/>
        <w:jc w:val="both"/>
        <w:rPr>
          <w:rFonts w:ascii="Arial" w:eastAsia="Arial" w:hAnsi="Arial" w:cs="Arial"/>
          <w:sz w:val="24"/>
          <w:szCs w:val="24"/>
        </w:rPr>
      </w:pPr>
    </w:p>
    <w:p w14:paraId="00000033" w14:textId="77777777" w:rsidR="00042BBF" w:rsidRDefault="00F866AE">
      <w:pPr>
        <w:pBdr>
          <w:top w:val="nil"/>
          <w:left w:val="nil"/>
          <w:bottom w:val="nil"/>
          <w:right w:val="nil"/>
          <w:between w:val="nil"/>
        </w:pBdr>
        <w:spacing w:before="99" w:line="252" w:lineRule="auto"/>
        <w:ind w:right="143"/>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w:t>
      </w:r>
      <w:r>
        <w:rPr>
          <w:rFonts w:ascii="Arial" w:eastAsia="Arial" w:hAnsi="Arial" w:cs="Arial"/>
          <w:color w:val="000000"/>
          <w:sz w:val="24"/>
          <w:szCs w:val="24"/>
        </w:rPr>
        <w:t>Para</w:t>
      </w:r>
      <w:r>
        <w:rPr>
          <w:rFonts w:ascii="Arial" w:eastAsia="Arial" w:hAnsi="Arial" w:cs="Arial"/>
          <w:sz w:val="24"/>
          <w:szCs w:val="24"/>
        </w:rPr>
        <w:t xml:space="preserve"> saber y aplicar</w:t>
      </w:r>
      <w:r>
        <w:rPr>
          <w:rFonts w:ascii="Arial" w:eastAsia="Arial" w:hAnsi="Arial" w:cs="Arial"/>
          <w:color w:val="000000"/>
          <w:sz w:val="24"/>
          <w:szCs w:val="24"/>
        </w:rPr>
        <w:t xml:space="preserve"> el método o la forma de destrucción menos contaminante, el Instituto podrá solicitar asesoría y apoyo a la Secretaría de Medio Ambiente y </w:t>
      </w:r>
      <w:r>
        <w:rPr>
          <w:rFonts w:ascii="Arial" w:eastAsia="Arial" w:hAnsi="Arial" w:cs="Arial"/>
          <w:sz w:val="24"/>
          <w:szCs w:val="24"/>
        </w:rPr>
        <w:t>Recursos</w:t>
      </w:r>
      <w:r>
        <w:rPr>
          <w:rFonts w:ascii="Arial" w:eastAsia="Arial" w:hAnsi="Arial" w:cs="Arial"/>
          <w:color w:val="000000"/>
          <w:sz w:val="24"/>
          <w:szCs w:val="24"/>
        </w:rPr>
        <w:t xml:space="preserve"> Naturales de </w:t>
      </w:r>
      <w:r>
        <w:rPr>
          <w:rFonts w:ascii="Arial" w:eastAsia="Arial" w:hAnsi="Arial" w:cs="Arial"/>
          <w:sz w:val="24"/>
          <w:szCs w:val="24"/>
        </w:rPr>
        <w:t>Hidalgo</w:t>
      </w:r>
      <w:r>
        <w:rPr>
          <w:rFonts w:ascii="Arial" w:eastAsia="Arial" w:hAnsi="Arial" w:cs="Arial"/>
          <w:color w:val="000000"/>
          <w:sz w:val="24"/>
          <w:szCs w:val="24"/>
        </w:rPr>
        <w:t xml:space="preserve">, Secretaría de la Defensa Nacional y Recursos Naturales o a cualquier institución especializada, desde el momento en que </w:t>
      </w:r>
      <w:r>
        <w:rPr>
          <w:rFonts w:ascii="Arial" w:eastAsia="Arial" w:hAnsi="Arial" w:cs="Arial"/>
          <w:sz w:val="24"/>
          <w:szCs w:val="24"/>
        </w:rPr>
        <w:t>se tenga conocimiento de la transferencia de sustancias nocivas para la salud,</w:t>
      </w:r>
      <w:r>
        <w:rPr>
          <w:rFonts w:ascii="Arial" w:eastAsia="Arial" w:hAnsi="Arial" w:cs="Arial"/>
          <w:color w:val="000000"/>
          <w:sz w:val="24"/>
          <w:szCs w:val="24"/>
        </w:rPr>
        <w:t xml:space="preserve"> a fin de obtener la información nec</w:t>
      </w:r>
      <w:r>
        <w:rPr>
          <w:rFonts w:ascii="Arial" w:eastAsia="Arial" w:hAnsi="Arial" w:cs="Arial"/>
          <w:sz w:val="24"/>
          <w:szCs w:val="24"/>
        </w:rPr>
        <w:t>esaria,</w:t>
      </w:r>
      <w:r>
        <w:rPr>
          <w:rFonts w:ascii="Arial" w:eastAsia="Arial" w:hAnsi="Arial" w:cs="Arial"/>
          <w:color w:val="000000"/>
          <w:sz w:val="24"/>
          <w:szCs w:val="24"/>
        </w:rPr>
        <w:t xml:space="preserve"> observando las disposiciones de seguridad, salud, protección al medio ambiente y demás que resulten aplicables.</w:t>
      </w:r>
    </w:p>
    <w:p w14:paraId="00000034" w14:textId="77777777" w:rsidR="00042BBF" w:rsidRDefault="00042BBF">
      <w:pPr>
        <w:pBdr>
          <w:top w:val="nil"/>
          <w:left w:val="nil"/>
          <w:bottom w:val="nil"/>
          <w:right w:val="nil"/>
          <w:between w:val="nil"/>
        </w:pBdr>
        <w:spacing w:before="95" w:line="252" w:lineRule="auto"/>
        <w:ind w:right="139"/>
        <w:jc w:val="both"/>
        <w:rPr>
          <w:rFonts w:ascii="Arial" w:eastAsia="Arial" w:hAnsi="Arial" w:cs="Arial"/>
          <w:b/>
          <w:color w:val="000000"/>
          <w:sz w:val="24"/>
          <w:szCs w:val="24"/>
        </w:rPr>
      </w:pPr>
    </w:p>
    <w:p w14:paraId="00000035" w14:textId="77777777" w:rsidR="00042BBF" w:rsidRDefault="00F866AE">
      <w:pPr>
        <w:pBdr>
          <w:top w:val="nil"/>
          <w:left w:val="nil"/>
          <w:bottom w:val="nil"/>
          <w:right w:val="nil"/>
          <w:between w:val="nil"/>
        </w:pBdr>
        <w:spacing w:before="95" w:line="252" w:lineRule="auto"/>
        <w:ind w:right="139"/>
        <w:jc w:val="both"/>
        <w:rPr>
          <w:rFonts w:ascii="Arial" w:eastAsia="Arial" w:hAnsi="Arial" w:cs="Arial"/>
          <w:color w:val="000000"/>
          <w:sz w:val="24"/>
          <w:szCs w:val="24"/>
        </w:rPr>
      </w:pPr>
      <w:r>
        <w:rPr>
          <w:rFonts w:ascii="Arial" w:eastAsia="Arial" w:hAnsi="Arial" w:cs="Arial"/>
          <w:b/>
          <w:sz w:val="24"/>
          <w:szCs w:val="24"/>
        </w:rPr>
        <w:t xml:space="preserve">Artículo 5.- </w:t>
      </w:r>
      <w:r>
        <w:rPr>
          <w:rFonts w:ascii="Arial" w:eastAsia="Arial" w:hAnsi="Arial" w:cs="Arial"/>
          <w:sz w:val="24"/>
          <w:szCs w:val="24"/>
        </w:rPr>
        <w:t>Cuando se trate</w:t>
      </w:r>
      <w:r>
        <w:rPr>
          <w:rFonts w:ascii="Arial" w:eastAsia="Arial" w:hAnsi="Arial" w:cs="Arial"/>
          <w:color w:val="000000"/>
          <w:sz w:val="24"/>
          <w:szCs w:val="24"/>
        </w:rPr>
        <w:t xml:space="preserve"> de </w:t>
      </w:r>
      <w:r>
        <w:rPr>
          <w:rFonts w:ascii="Arial" w:eastAsia="Arial" w:hAnsi="Arial" w:cs="Arial"/>
          <w:sz w:val="24"/>
          <w:szCs w:val="24"/>
        </w:rPr>
        <w:t>b</w:t>
      </w:r>
      <w:r>
        <w:rPr>
          <w:rFonts w:ascii="Arial" w:eastAsia="Arial" w:hAnsi="Arial" w:cs="Arial"/>
          <w:color w:val="000000"/>
          <w:sz w:val="24"/>
          <w:szCs w:val="24"/>
        </w:rPr>
        <w:t xml:space="preserve">ienes relacionados con la comisión de </w:t>
      </w:r>
      <w:r>
        <w:rPr>
          <w:rFonts w:ascii="Arial" w:eastAsia="Arial" w:hAnsi="Arial" w:cs="Arial"/>
          <w:sz w:val="24"/>
          <w:szCs w:val="24"/>
        </w:rPr>
        <w:t xml:space="preserve">hechos que la norma penal señala como </w:t>
      </w:r>
      <w:r>
        <w:rPr>
          <w:rFonts w:ascii="Arial" w:eastAsia="Arial" w:hAnsi="Arial" w:cs="Arial"/>
          <w:color w:val="000000"/>
          <w:sz w:val="24"/>
          <w:szCs w:val="24"/>
        </w:rPr>
        <w:t>delitos o infracciones administrativa</w:t>
      </w:r>
      <w:r>
        <w:rPr>
          <w:rFonts w:ascii="Arial" w:eastAsia="Arial" w:hAnsi="Arial" w:cs="Arial"/>
          <w:sz w:val="24"/>
          <w:szCs w:val="24"/>
        </w:rPr>
        <w:t xml:space="preserve">s </w:t>
      </w:r>
      <w:r>
        <w:rPr>
          <w:rFonts w:ascii="Arial" w:eastAsia="Arial" w:hAnsi="Arial" w:cs="Arial"/>
          <w:color w:val="000000"/>
          <w:sz w:val="24"/>
          <w:szCs w:val="24"/>
        </w:rPr>
        <w:t xml:space="preserve">relativos a propiedad industrial o derechos de autor, el Instituto por medio de </w:t>
      </w:r>
      <w:r>
        <w:rPr>
          <w:rFonts w:ascii="Arial" w:eastAsia="Arial" w:hAnsi="Arial" w:cs="Arial"/>
          <w:sz w:val="24"/>
          <w:szCs w:val="24"/>
        </w:rPr>
        <w:t xml:space="preserve">la Persona </w:t>
      </w:r>
      <w:r>
        <w:rPr>
          <w:rFonts w:ascii="Arial" w:eastAsia="Arial" w:hAnsi="Arial" w:cs="Arial"/>
          <w:sz w:val="24"/>
          <w:szCs w:val="24"/>
        </w:rPr>
        <w:lastRenderedPageBreak/>
        <w:t>Titular</w:t>
      </w:r>
      <w:r>
        <w:rPr>
          <w:rFonts w:ascii="Arial" w:eastAsia="Arial" w:hAnsi="Arial" w:cs="Arial"/>
          <w:color w:val="000000"/>
          <w:sz w:val="24"/>
          <w:szCs w:val="24"/>
        </w:rPr>
        <w:t xml:space="preserve"> de la Dirección General del Instituto, antes de la destrucción de </w:t>
      </w:r>
      <w:r>
        <w:rPr>
          <w:rFonts w:ascii="Arial" w:eastAsia="Arial" w:hAnsi="Arial" w:cs="Arial"/>
          <w:sz w:val="24"/>
          <w:szCs w:val="24"/>
        </w:rPr>
        <w:t>los bienes</w:t>
      </w:r>
      <w:r>
        <w:rPr>
          <w:rFonts w:ascii="Arial" w:eastAsia="Arial" w:hAnsi="Arial" w:cs="Arial"/>
          <w:color w:val="000000"/>
          <w:sz w:val="24"/>
          <w:szCs w:val="24"/>
        </w:rPr>
        <w:t xml:space="preserve">, deberá verificar la resolución definitiva que declare que se ha cometido una infracción administrativa o </w:t>
      </w:r>
      <w:r>
        <w:rPr>
          <w:rFonts w:ascii="Arial" w:eastAsia="Arial" w:hAnsi="Arial" w:cs="Arial"/>
          <w:sz w:val="24"/>
          <w:szCs w:val="24"/>
        </w:rPr>
        <w:t>la comisión de hechos que la ley señala como delitos</w:t>
      </w:r>
      <w:r>
        <w:rPr>
          <w:rFonts w:ascii="Arial" w:eastAsia="Arial" w:hAnsi="Arial" w:cs="Arial"/>
          <w:color w:val="000000"/>
          <w:sz w:val="24"/>
          <w:szCs w:val="24"/>
        </w:rPr>
        <w:t xml:space="preserve"> en términos del </w:t>
      </w:r>
      <w:r>
        <w:rPr>
          <w:rFonts w:ascii="Arial" w:eastAsia="Arial" w:hAnsi="Arial" w:cs="Arial"/>
          <w:sz w:val="24"/>
          <w:szCs w:val="24"/>
        </w:rPr>
        <w:t>Código</w:t>
      </w:r>
      <w:r>
        <w:rPr>
          <w:rFonts w:ascii="Arial" w:eastAsia="Arial" w:hAnsi="Arial" w:cs="Arial"/>
          <w:color w:val="000000"/>
          <w:sz w:val="24"/>
          <w:szCs w:val="24"/>
        </w:rPr>
        <w:t xml:space="preserve"> Nacional de Procedimientos Penales</w:t>
      </w:r>
      <w:r>
        <w:rPr>
          <w:rFonts w:ascii="Arial" w:eastAsia="Arial" w:hAnsi="Arial" w:cs="Arial"/>
          <w:sz w:val="24"/>
          <w:szCs w:val="24"/>
        </w:rPr>
        <w:t>,</w:t>
      </w:r>
      <w:r>
        <w:rPr>
          <w:rFonts w:ascii="Arial" w:eastAsia="Arial" w:hAnsi="Arial" w:cs="Arial"/>
          <w:color w:val="000000"/>
          <w:sz w:val="24"/>
          <w:szCs w:val="24"/>
        </w:rPr>
        <w:t xml:space="preserve"> de la Ley de la Propiedad Industrial y la Ley Federal del Derecho de Autor, y que el Instituto Mexicano de la Propiedad Industrial o, en su caso, el Instituto Nacional del Derecho de Autor, y </w:t>
      </w:r>
      <w:r>
        <w:rPr>
          <w:rFonts w:ascii="Arial" w:eastAsia="Arial" w:hAnsi="Arial" w:cs="Arial"/>
          <w:sz w:val="24"/>
          <w:szCs w:val="24"/>
        </w:rPr>
        <w:t>demás normatividad aplicable, y</w:t>
      </w:r>
      <w:r>
        <w:rPr>
          <w:rFonts w:ascii="Arial" w:eastAsia="Arial" w:hAnsi="Arial" w:cs="Arial"/>
          <w:color w:val="000000"/>
          <w:sz w:val="24"/>
          <w:szCs w:val="24"/>
        </w:rPr>
        <w:t xml:space="preserve"> hayan decidido poner los bienes a disposición del Instituto.</w:t>
      </w:r>
    </w:p>
    <w:p w14:paraId="00000036" w14:textId="77777777" w:rsidR="00042BBF" w:rsidRDefault="00042BBF">
      <w:pPr>
        <w:pBdr>
          <w:top w:val="nil"/>
          <w:left w:val="nil"/>
          <w:bottom w:val="nil"/>
          <w:right w:val="nil"/>
          <w:between w:val="nil"/>
        </w:pBdr>
        <w:spacing w:before="95" w:line="252" w:lineRule="auto"/>
        <w:ind w:right="139"/>
        <w:jc w:val="both"/>
        <w:rPr>
          <w:rFonts w:ascii="Arial" w:eastAsia="Arial" w:hAnsi="Arial" w:cs="Arial"/>
          <w:color w:val="000000"/>
          <w:sz w:val="24"/>
          <w:szCs w:val="24"/>
        </w:rPr>
      </w:pPr>
    </w:p>
    <w:p w14:paraId="00000037" w14:textId="77777777" w:rsidR="00042BBF" w:rsidRDefault="00F866AE">
      <w:pPr>
        <w:pBdr>
          <w:top w:val="nil"/>
          <w:left w:val="nil"/>
          <w:bottom w:val="nil"/>
          <w:right w:val="nil"/>
          <w:between w:val="nil"/>
        </w:pBdr>
        <w:tabs>
          <w:tab w:val="left" w:pos="4481"/>
          <w:tab w:val="left" w:pos="8162"/>
        </w:tabs>
        <w:spacing w:before="84" w:line="246" w:lineRule="auto"/>
        <w:ind w:right="140"/>
        <w:jc w:val="both"/>
        <w:rPr>
          <w:rFonts w:ascii="Arial" w:eastAsia="Arial" w:hAnsi="Arial" w:cs="Arial"/>
          <w:color w:val="000000"/>
          <w:sz w:val="24"/>
          <w:szCs w:val="24"/>
        </w:rPr>
      </w:pPr>
      <w:r>
        <w:rPr>
          <w:rFonts w:ascii="Arial" w:eastAsia="Arial" w:hAnsi="Arial" w:cs="Arial"/>
          <w:b/>
          <w:sz w:val="24"/>
          <w:szCs w:val="24"/>
        </w:rPr>
        <w:t xml:space="preserve">Artículo 6.- </w:t>
      </w:r>
      <w:r>
        <w:rPr>
          <w:rFonts w:ascii="Arial" w:eastAsia="Arial" w:hAnsi="Arial" w:cs="Arial"/>
          <w:sz w:val="24"/>
          <w:szCs w:val="24"/>
        </w:rPr>
        <w:t>Cuando se trate de b</w:t>
      </w:r>
      <w:r>
        <w:rPr>
          <w:rFonts w:ascii="Arial" w:eastAsia="Arial" w:hAnsi="Arial" w:cs="Arial"/>
          <w:color w:val="000000"/>
          <w:sz w:val="24"/>
          <w:szCs w:val="24"/>
        </w:rPr>
        <w:t xml:space="preserve">ienes cuya importación esté prohibida o sea objeto de ilícitos, el Instituto por medio de la Persona Titular de la Dirección General </w:t>
      </w:r>
      <w:r>
        <w:rPr>
          <w:rFonts w:ascii="Arial" w:eastAsia="Arial" w:hAnsi="Arial" w:cs="Arial"/>
          <w:sz w:val="24"/>
          <w:szCs w:val="24"/>
        </w:rPr>
        <w:t>del Instituto</w:t>
      </w:r>
      <w:r>
        <w:rPr>
          <w:rFonts w:ascii="Arial" w:eastAsia="Arial" w:hAnsi="Arial" w:cs="Arial"/>
          <w:color w:val="000000"/>
          <w:sz w:val="24"/>
          <w:szCs w:val="24"/>
        </w:rPr>
        <w:t xml:space="preserve"> antes de su destrucción, deberá </w:t>
      </w:r>
      <w:r>
        <w:rPr>
          <w:rFonts w:ascii="Arial" w:eastAsia="Arial" w:hAnsi="Arial" w:cs="Arial"/>
          <w:sz w:val="24"/>
          <w:szCs w:val="24"/>
        </w:rPr>
        <w:t>checar</w:t>
      </w:r>
      <w:r>
        <w:rPr>
          <w:rFonts w:ascii="Arial" w:eastAsia="Arial" w:hAnsi="Arial" w:cs="Arial"/>
          <w:color w:val="000000"/>
          <w:sz w:val="24"/>
          <w:szCs w:val="24"/>
        </w:rPr>
        <w:t xml:space="preserve"> con las autorida</w:t>
      </w:r>
      <w:r>
        <w:rPr>
          <w:rFonts w:ascii="Arial" w:eastAsia="Arial" w:hAnsi="Arial" w:cs="Arial"/>
          <w:sz w:val="24"/>
          <w:szCs w:val="24"/>
        </w:rPr>
        <w:t xml:space="preserve">des correspondientes </w:t>
      </w:r>
      <w:r>
        <w:rPr>
          <w:rFonts w:ascii="Arial" w:eastAsia="Arial" w:hAnsi="Arial" w:cs="Arial"/>
          <w:color w:val="000000"/>
          <w:sz w:val="24"/>
          <w:szCs w:val="24"/>
        </w:rPr>
        <w:t xml:space="preserve">la resolución definitiva que declare que se ha cometido una infracción administrativa o </w:t>
      </w:r>
      <w:r>
        <w:rPr>
          <w:rFonts w:ascii="Arial" w:eastAsia="Arial" w:hAnsi="Arial" w:cs="Arial"/>
          <w:sz w:val="24"/>
          <w:szCs w:val="24"/>
        </w:rPr>
        <w:t>con la comisión de hechos que la norma penal señala como delito</w:t>
      </w:r>
      <w:r>
        <w:rPr>
          <w:rFonts w:ascii="Arial" w:eastAsia="Arial" w:hAnsi="Arial" w:cs="Arial"/>
          <w:color w:val="000000"/>
          <w:sz w:val="24"/>
          <w:szCs w:val="24"/>
        </w:rPr>
        <w:t xml:space="preserve">, en </w:t>
      </w:r>
      <w:r>
        <w:rPr>
          <w:rFonts w:ascii="Arial" w:eastAsia="Arial" w:hAnsi="Arial" w:cs="Arial"/>
          <w:sz w:val="24"/>
          <w:szCs w:val="24"/>
        </w:rPr>
        <w:t>términos de la normatividad aplicable.</w:t>
      </w:r>
    </w:p>
    <w:p w14:paraId="00000038" w14:textId="77777777" w:rsidR="00042BBF" w:rsidRDefault="00042BBF">
      <w:pPr>
        <w:pBdr>
          <w:top w:val="nil"/>
          <w:left w:val="nil"/>
          <w:bottom w:val="nil"/>
          <w:right w:val="nil"/>
          <w:between w:val="nil"/>
        </w:pBdr>
        <w:tabs>
          <w:tab w:val="left" w:pos="4481"/>
          <w:tab w:val="left" w:pos="8162"/>
        </w:tabs>
        <w:spacing w:before="84" w:line="246" w:lineRule="auto"/>
        <w:ind w:right="140"/>
        <w:jc w:val="both"/>
        <w:rPr>
          <w:rFonts w:ascii="Arial" w:eastAsia="Arial" w:hAnsi="Arial" w:cs="Arial"/>
          <w:color w:val="000000"/>
          <w:sz w:val="24"/>
          <w:szCs w:val="24"/>
        </w:rPr>
      </w:pPr>
    </w:p>
    <w:p w14:paraId="00000039" w14:textId="77777777" w:rsidR="00042BBF" w:rsidRDefault="00F866AE">
      <w:pPr>
        <w:pBdr>
          <w:top w:val="nil"/>
          <w:left w:val="nil"/>
          <w:bottom w:val="nil"/>
          <w:right w:val="nil"/>
          <w:between w:val="nil"/>
        </w:pBdr>
        <w:spacing w:before="90" w:line="244" w:lineRule="auto"/>
        <w:ind w:right="142"/>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color w:val="000000"/>
          <w:sz w:val="24"/>
          <w:szCs w:val="24"/>
        </w:rPr>
        <w:t xml:space="preserve"> </w:t>
      </w:r>
      <w:r>
        <w:rPr>
          <w:rFonts w:ascii="Arial" w:eastAsia="Arial" w:hAnsi="Arial" w:cs="Arial"/>
          <w:sz w:val="24"/>
          <w:szCs w:val="24"/>
        </w:rPr>
        <w:t>El Instituto o los terceros especializados si</w:t>
      </w:r>
      <w:r>
        <w:rPr>
          <w:rFonts w:ascii="Arial" w:eastAsia="Arial" w:hAnsi="Arial" w:cs="Arial"/>
          <w:color w:val="000000"/>
          <w:sz w:val="24"/>
          <w:szCs w:val="24"/>
        </w:rPr>
        <w:t xml:space="preserve"> el, o los </w:t>
      </w:r>
      <w:r>
        <w:rPr>
          <w:rFonts w:ascii="Arial" w:eastAsia="Arial" w:hAnsi="Arial" w:cs="Arial"/>
          <w:sz w:val="24"/>
          <w:szCs w:val="24"/>
        </w:rPr>
        <w:t>b</w:t>
      </w:r>
      <w:r>
        <w:rPr>
          <w:rFonts w:ascii="Arial" w:eastAsia="Arial" w:hAnsi="Arial" w:cs="Arial"/>
          <w:color w:val="000000"/>
          <w:sz w:val="24"/>
          <w:szCs w:val="24"/>
        </w:rPr>
        <w:t xml:space="preserve">ienes son objeto de prueba de un procedimiento judicial o administrativo, caso en el cual no procederá la destrucción de los mismos, a menos que se </w:t>
      </w:r>
      <w:r>
        <w:rPr>
          <w:rFonts w:ascii="Arial" w:eastAsia="Arial" w:hAnsi="Arial" w:cs="Arial"/>
          <w:sz w:val="24"/>
          <w:szCs w:val="24"/>
        </w:rPr>
        <w:t>acredite que la</w:t>
      </w:r>
      <w:r>
        <w:rPr>
          <w:rFonts w:ascii="Arial" w:eastAsia="Arial" w:hAnsi="Arial" w:cs="Arial"/>
          <w:color w:val="000000"/>
          <w:sz w:val="24"/>
          <w:szCs w:val="24"/>
        </w:rPr>
        <w:t xml:space="preserve"> autoridad competente determin</w:t>
      </w:r>
      <w:r>
        <w:rPr>
          <w:rFonts w:ascii="Arial" w:eastAsia="Arial" w:hAnsi="Arial" w:cs="Arial"/>
          <w:sz w:val="24"/>
          <w:szCs w:val="24"/>
        </w:rPr>
        <w:t>ó</w:t>
      </w:r>
      <w:r>
        <w:rPr>
          <w:rFonts w:ascii="Arial" w:eastAsia="Arial" w:hAnsi="Arial" w:cs="Arial"/>
          <w:color w:val="000000"/>
          <w:sz w:val="24"/>
          <w:szCs w:val="24"/>
        </w:rPr>
        <w:t xml:space="preserve"> que se </w:t>
      </w:r>
      <w:r>
        <w:rPr>
          <w:rFonts w:ascii="Arial" w:eastAsia="Arial" w:hAnsi="Arial" w:cs="Arial"/>
          <w:sz w:val="24"/>
          <w:szCs w:val="24"/>
        </w:rPr>
        <w:t>puede</w:t>
      </w:r>
      <w:r>
        <w:rPr>
          <w:rFonts w:ascii="Arial" w:eastAsia="Arial" w:hAnsi="Arial" w:cs="Arial"/>
          <w:color w:val="000000"/>
          <w:sz w:val="24"/>
          <w:szCs w:val="24"/>
        </w:rPr>
        <w:t xml:space="preserve"> proceder a la destrucción.</w:t>
      </w:r>
    </w:p>
    <w:p w14:paraId="0000003A" w14:textId="77777777" w:rsidR="00042BBF" w:rsidRDefault="00042BBF">
      <w:pPr>
        <w:pBdr>
          <w:top w:val="nil"/>
          <w:left w:val="nil"/>
          <w:bottom w:val="nil"/>
          <w:right w:val="nil"/>
          <w:between w:val="nil"/>
        </w:pBdr>
        <w:spacing w:before="90" w:line="244" w:lineRule="auto"/>
        <w:ind w:right="142"/>
        <w:jc w:val="both"/>
        <w:rPr>
          <w:rFonts w:ascii="Arial" w:eastAsia="Arial" w:hAnsi="Arial" w:cs="Arial"/>
          <w:color w:val="000000"/>
          <w:sz w:val="24"/>
          <w:szCs w:val="24"/>
        </w:rPr>
      </w:pPr>
    </w:p>
    <w:p w14:paraId="0000003B" w14:textId="77777777" w:rsidR="00042BBF" w:rsidRDefault="00F866AE">
      <w:pPr>
        <w:pBdr>
          <w:top w:val="nil"/>
          <w:left w:val="nil"/>
          <w:bottom w:val="nil"/>
          <w:right w:val="nil"/>
          <w:between w:val="nil"/>
        </w:pBdr>
        <w:spacing w:before="96" w:line="249" w:lineRule="auto"/>
        <w:ind w:right="136"/>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color w:val="000000"/>
          <w:sz w:val="24"/>
          <w:szCs w:val="24"/>
        </w:rPr>
        <w:t xml:space="preserve">El Instituto integrará un expediente para proceder a la destrucción de los bienes, </w:t>
      </w:r>
      <w:r>
        <w:rPr>
          <w:rFonts w:ascii="Arial" w:eastAsia="Arial" w:hAnsi="Arial" w:cs="Arial"/>
          <w:sz w:val="24"/>
          <w:szCs w:val="24"/>
        </w:rPr>
        <w:t xml:space="preserve"> además de la contenida en la Ley, deberá contener la siguiente documentación:</w:t>
      </w:r>
    </w:p>
    <w:p w14:paraId="0000003C" w14:textId="77777777" w:rsidR="00042BBF" w:rsidRDefault="00042BBF">
      <w:pPr>
        <w:pBdr>
          <w:top w:val="nil"/>
          <w:left w:val="nil"/>
          <w:bottom w:val="nil"/>
          <w:right w:val="nil"/>
          <w:between w:val="nil"/>
        </w:pBdr>
        <w:spacing w:before="96" w:line="249" w:lineRule="auto"/>
        <w:ind w:right="136"/>
        <w:jc w:val="both"/>
        <w:rPr>
          <w:rFonts w:ascii="Arial" w:eastAsia="Arial" w:hAnsi="Arial" w:cs="Arial"/>
          <w:sz w:val="24"/>
          <w:szCs w:val="24"/>
        </w:rPr>
      </w:pPr>
    </w:p>
    <w:p w14:paraId="0000003D" w14:textId="77777777" w:rsidR="00042BBF" w:rsidRDefault="00F866AE">
      <w:pPr>
        <w:pBdr>
          <w:top w:val="nil"/>
          <w:left w:val="nil"/>
          <w:bottom w:val="nil"/>
          <w:right w:val="nil"/>
          <w:between w:val="nil"/>
        </w:pBdr>
        <w:spacing w:before="96" w:line="249" w:lineRule="auto"/>
        <w:ind w:right="136"/>
        <w:jc w:val="both"/>
        <w:rPr>
          <w:rFonts w:ascii="Arial" w:eastAsia="Arial" w:hAnsi="Arial" w:cs="Arial"/>
          <w:sz w:val="24"/>
          <w:szCs w:val="24"/>
        </w:rPr>
      </w:pPr>
      <w:r>
        <w:rPr>
          <w:rFonts w:ascii="Arial" w:eastAsia="Arial" w:hAnsi="Arial" w:cs="Arial"/>
          <w:b/>
          <w:color w:val="000000"/>
          <w:sz w:val="24"/>
          <w:szCs w:val="24"/>
        </w:rPr>
        <w:t>I.-</w:t>
      </w:r>
      <w:r>
        <w:rPr>
          <w:rFonts w:ascii="Arial" w:eastAsia="Arial" w:hAnsi="Arial" w:cs="Arial"/>
          <w:b/>
          <w:sz w:val="24"/>
          <w:szCs w:val="24"/>
        </w:rPr>
        <w:t xml:space="preserve"> </w:t>
      </w:r>
      <w:r>
        <w:rPr>
          <w:rFonts w:ascii="Arial" w:eastAsia="Arial" w:hAnsi="Arial" w:cs="Arial"/>
          <w:sz w:val="24"/>
          <w:szCs w:val="24"/>
        </w:rPr>
        <w:t>El inventario de los bienes a destruir;</w:t>
      </w:r>
    </w:p>
    <w:p w14:paraId="0000003E" w14:textId="77777777" w:rsidR="00042BBF" w:rsidRDefault="00042BBF">
      <w:pPr>
        <w:tabs>
          <w:tab w:val="left" w:pos="860"/>
          <w:tab w:val="left" w:pos="861"/>
        </w:tabs>
        <w:spacing w:before="98"/>
        <w:rPr>
          <w:rFonts w:ascii="Arial" w:eastAsia="Arial" w:hAnsi="Arial" w:cs="Arial"/>
          <w:sz w:val="24"/>
          <w:szCs w:val="24"/>
        </w:rPr>
      </w:pPr>
    </w:p>
    <w:p w14:paraId="0000003F" w14:textId="77777777" w:rsidR="00042BBF" w:rsidRDefault="00F866AE">
      <w:pPr>
        <w:tabs>
          <w:tab w:val="left" w:pos="860"/>
          <w:tab w:val="left" w:pos="861"/>
        </w:tabs>
        <w:spacing w:before="99"/>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Los dictámenes o constancias que acrediten la destrucción;</w:t>
      </w:r>
    </w:p>
    <w:p w14:paraId="00000040" w14:textId="77777777" w:rsidR="00042BBF" w:rsidRDefault="00042BBF">
      <w:pPr>
        <w:tabs>
          <w:tab w:val="left" w:pos="860"/>
          <w:tab w:val="left" w:pos="861"/>
        </w:tabs>
        <w:spacing w:before="99"/>
        <w:rPr>
          <w:rFonts w:ascii="Arial" w:eastAsia="Arial" w:hAnsi="Arial" w:cs="Arial"/>
          <w:sz w:val="24"/>
          <w:szCs w:val="24"/>
        </w:rPr>
      </w:pPr>
    </w:p>
    <w:p w14:paraId="00000041" w14:textId="77777777" w:rsidR="00042BBF" w:rsidRDefault="00F866AE">
      <w:pPr>
        <w:tabs>
          <w:tab w:val="left" w:pos="860"/>
          <w:tab w:val="left" w:pos="861"/>
        </w:tabs>
        <w:spacing w:before="98" w:line="249" w:lineRule="auto"/>
        <w:ind w:right="62"/>
        <w:rPr>
          <w:rFonts w:ascii="Arial" w:eastAsia="Arial" w:hAnsi="Arial" w:cs="Arial"/>
          <w:sz w:val="24"/>
          <w:szCs w:val="24"/>
        </w:rPr>
      </w:pPr>
      <w:r>
        <w:rPr>
          <w:rFonts w:ascii="Arial" w:eastAsia="Arial" w:hAnsi="Arial" w:cs="Arial"/>
          <w:b/>
          <w:sz w:val="24"/>
          <w:szCs w:val="24"/>
        </w:rPr>
        <w:t xml:space="preserve">III.- </w:t>
      </w:r>
      <w:r>
        <w:rPr>
          <w:rFonts w:ascii="Arial" w:eastAsia="Arial" w:hAnsi="Arial" w:cs="Arial"/>
          <w:sz w:val="24"/>
          <w:szCs w:val="24"/>
        </w:rPr>
        <w:t>Cuando el producto del bien destruido pueda ser vendido, se deberá contar con el documento que acredite la forma de comercialización y la constancia del ingreso;</w:t>
      </w:r>
    </w:p>
    <w:p w14:paraId="00000042" w14:textId="77777777" w:rsidR="00042BBF" w:rsidRDefault="00042BBF">
      <w:pPr>
        <w:tabs>
          <w:tab w:val="left" w:pos="860"/>
          <w:tab w:val="left" w:pos="861"/>
        </w:tabs>
        <w:spacing w:before="98" w:line="249" w:lineRule="auto"/>
        <w:ind w:right="1"/>
        <w:rPr>
          <w:rFonts w:ascii="Arial" w:eastAsia="Arial" w:hAnsi="Arial" w:cs="Arial"/>
          <w:sz w:val="24"/>
          <w:szCs w:val="24"/>
        </w:rPr>
      </w:pPr>
    </w:p>
    <w:p w14:paraId="00000043" w14:textId="77777777" w:rsidR="00042BBF" w:rsidRDefault="00F866AE">
      <w:pPr>
        <w:tabs>
          <w:tab w:val="left" w:pos="860"/>
          <w:tab w:val="left" w:pos="861"/>
        </w:tabs>
        <w:spacing w:before="89" w:line="244" w:lineRule="auto"/>
        <w:ind w:right="176"/>
        <w:jc w:val="both"/>
        <w:rPr>
          <w:rFonts w:ascii="Arial" w:eastAsia="Arial" w:hAnsi="Arial" w:cs="Arial"/>
          <w:sz w:val="24"/>
          <w:szCs w:val="24"/>
        </w:rPr>
      </w:pPr>
      <w:r>
        <w:rPr>
          <w:rFonts w:ascii="Arial" w:eastAsia="Arial" w:hAnsi="Arial" w:cs="Arial"/>
          <w:b/>
          <w:sz w:val="24"/>
          <w:szCs w:val="24"/>
        </w:rPr>
        <w:t xml:space="preserve">IV.- </w:t>
      </w:r>
      <w:r>
        <w:rPr>
          <w:rFonts w:ascii="Arial" w:eastAsia="Arial" w:hAnsi="Arial" w:cs="Arial"/>
          <w:sz w:val="24"/>
          <w:szCs w:val="24"/>
        </w:rPr>
        <w:t xml:space="preserve">Acta de la destrucción del bien debidamente </w:t>
      </w:r>
      <w:proofErr w:type="spellStart"/>
      <w:r>
        <w:rPr>
          <w:rFonts w:ascii="Arial" w:eastAsia="Arial" w:hAnsi="Arial" w:cs="Arial"/>
          <w:sz w:val="24"/>
          <w:szCs w:val="24"/>
        </w:rPr>
        <w:t>requisitada</w:t>
      </w:r>
      <w:proofErr w:type="spellEnd"/>
      <w:r>
        <w:rPr>
          <w:rFonts w:ascii="Arial" w:eastAsia="Arial" w:hAnsi="Arial" w:cs="Arial"/>
          <w:sz w:val="24"/>
          <w:szCs w:val="24"/>
        </w:rPr>
        <w:t>;</w:t>
      </w:r>
    </w:p>
    <w:p w14:paraId="00000044" w14:textId="77777777" w:rsidR="00042BBF" w:rsidRDefault="00042BBF">
      <w:pPr>
        <w:tabs>
          <w:tab w:val="left" w:pos="860"/>
          <w:tab w:val="left" w:pos="861"/>
        </w:tabs>
        <w:spacing w:before="89" w:line="244" w:lineRule="auto"/>
        <w:ind w:right="176"/>
        <w:jc w:val="both"/>
        <w:rPr>
          <w:rFonts w:ascii="Arial" w:eastAsia="Arial" w:hAnsi="Arial" w:cs="Arial"/>
          <w:sz w:val="24"/>
          <w:szCs w:val="24"/>
        </w:rPr>
      </w:pPr>
    </w:p>
    <w:p w14:paraId="00000045" w14:textId="77777777" w:rsidR="00042BBF" w:rsidRDefault="00F866AE">
      <w:pPr>
        <w:pBdr>
          <w:top w:val="nil"/>
          <w:left w:val="nil"/>
          <w:bottom w:val="nil"/>
          <w:right w:val="nil"/>
          <w:between w:val="nil"/>
        </w:pBdr>
        <w:spacing w:before="99" w:line="246" w:lineRule="auto"/>
        <w:ind w:right="140"/>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V.- </w:t>
      </w:r>
      <w:r>
        <w:rPr>
          <w:rFonts w:ascii="Arial" w:eastAsia="Arial" w:hAnsi="Arial" w:cs="Arial"/>
          <w:sz w:val="24"/>
          <w:szCs w:val="24"/>
        </w:rPr>
        <w:t xml:space="preserve">Al momento de la </w:t>
      </w:r>
      <w:r>
        <w:rPr>
          <w:rFonts w:ascii="Arial" w:eastAsia="Arial" w:hAnsi="Arial" w:cs="Arial"/>
          <w:color w:val="000000"/>
          <w:sz w:val="24"/>
          <w:szCs w:val="24"/>
        </w:rPr>
        <w:t xml:space="preserve">destrucción deberán estar presentes los servidores públicos, que </w:t>
      </w:r>
      <w:r>
        <w:rPr>
          <w:rFonts w:ascii="Arial" w:eastAsia="Arial" w:hAnsi="Arial" w:cs="Arial"/>
          <w:sz w:val="24"/>
          <w:szCs w:val="24"/>
        </w:rPr>
        <w:t xml:space="preserve">designe la Persona Titular de la Dirección General del </w:t>
      </w:r>
      <w:r>
        <w:rPr>
          <w:rFonts w:ascii="Arial" w:eastAsia="Arial" w:hAnsi="Arial" w:cs="Arial"/>
          <w:color w:val="000000"/>
          <w:sz w:val="24"/>
          <w:szCs w:val="24"/>
        </w:rPr>
        <w:t>Instituto para tal efecto, así como el o los representantes de las entidades transferentes que hayan solicitado expresamente participar en dicho acto</w:t>
      </w:r>
      <w:r>
        <w:rPr>
          <w:rFonts w:ascii="Arial" w:eastAsia="Arial" w:hAnsi="Arial" w:cs="Arial"/>
          <w:sz w:val="24"/>
          <w:szCs w:val="24"/>
        </w:rPr>
        <w:t xml:space="preserve"> y</w:t>
      </w:r>
      <w:r>
        <w:rPr>
          <w:rFonts w:ascii="Arial" w:eastAsia="Arial" w:hAnsi="Arial" w:cs="Arial"/>
          <w:color w:val="000000"/>
          <w:sz w:val="24"/>
          <w:szCs w:val="24"/>
        </w:rPr>
        <w:t xml:space="preserve"> </w:t>
      </w:r>
      <w:r>
        <w:rPr>
          <w:rFonts w:ascii="Arial" w:eastAsia="Arial" w:hAnsi="Arial" w:cs="Arial"/>
          <w:sz w:val="24"/>
          <w:szCs w:val="24"/>
        </w:rPr>
        <w:t>e</w:t>
      </w:r>
      <w:r>
        <w:rPr>
          <w:rFonts w:ascii="Arial" w:eastAsia="Arial" w:hAnsi="Arial" w:cs="Arial"/>
          <w:color w:val="000000"/>
          <w:sz w:val="24"/>
          <w:szCs w:val="24"/>
        </w:rPr>
        <w:t>l Órgano Interno de Control del Instituto</w:t>
      </w:r>
      <w:r>
        <w:rPr>
          <w:rFonts w:ascii="Arial" w:eastAsia="Arial" w:hAnsi="Arial" w:cs="Arial"/>
          <w:sz w:val="24"/>
          <w:szCs w:val="24"/>
        </w:rPr>
        <w:t xml:space="preserve"> </w:t>
      </w:r>
      <w:r>
        <w:rPr>
          <w:rFonts w:ascii="Arial" w:eastAsia="Arial" w:hAnsi="Arial" w:cs="Arial"/>
          <w:color w:val="000000"/>
          <w:sz w:val="24"/>
          <w:szCs w:val="24"/>
        </w:rPr>
        <w:t>y demás autoridades que fueran proce</w:t>
      </w:r>
      <w:r>
        <w:rPr>
          <w:rFonts w:ascii="Arial" w:eastAsia="Arial" w:hAnsi="Arial" w:cs="Arial"/>
          <w:sz w:val="24"/>
          <w:szCs w:val="24"/>
        </w:rPr>
        <w:t>dentes</w:t>
      </w:r>
      <w:r>
        <w:rPr>
          <w:rFonts w:ascii="Arial" w:eastAsia="Arial" w:hAnsi="Arial" w:cs="Arial"/>
          <w:color w:val="000000"/>
          <w:sz w:val="24"/>
          <w:szCs w:val="24"/>
        </w:rPr>
        <w:t xml:space="preserve"> en términos de las disposiciones aplicables en cada caso</w:t>
      </w:r>
      <w:r>
        <w:rPr>
          <w:rFonts w:ascii="Arial" w:eastAsia="Arial" w:hAnsi="Arial" w:cs="Arial"/>
          <w:sz w:val="24"/>
          <w:szCs w:val="24"/>
        </w:rPr>
        <w:t xml:space="preserve">; </w:t>
      </w:r>
    </w:p>
    <w:p w14:paraId="00000046" w14:textId="77777777" w:rsidR="00042BBF" w:rsidRDefault="00042BBF">
      <w:pPr>
        <w:pBdr>
          <w:top w:val="nil"/>
          <w:left w:val="nil"/>
          <w:bottom w:val="nil"/>
          <w:right w:val="nil"/>
          <w:between w:val="nil"/>
        </w:pBdr>
        <w:spacing w:before="99" w:line="246" w:lineRule="auto"/>
        <w:ind w:right="140"/>
        <w:jc w:val="both"/>
        <w:rPr>
          <w:rFonts w:ascii="Arial" w:eastAsia="Arial" w:hAnsi="Arial" w:cs="Arial"/>
          <w:sz w:val="24"/>
          <w:szCs w:val="24"/>
        </w:rPr>
      </w:pPr>
    </w:p>
    <w:p w14:paraId="00000047" w14:textId="018D5D76" w:rsidR="00042BBF" w:rsidRDefault="00F866AE">
      <w:pPr>
        <w:pBdr>
          <w:top w:val="nil"/>
          <w:left w:val="nil"/>
          <w:bottom w:val="nil"/>
          <w:right w:val="nil"/>
          <w:between w:val="nil"/>
        </w:pBdr>
        <w:spacing w:before="99" w:line="246" w:lineRule="auto"/>
        <w:ind w:right="135"/>
        <w:jc w:val="both"/>
        <w:rPr>
          <w:rFonts w:ascii="Arial" w:eastAsia="Arial" w:hAnsi="Arial" w:cs="Arial"/>
          <w:sz w:val="24"/>
          <w:szCs w:val="24"/>
        </w:rPr>
      </w:pPr>
      <w:r>
        <w:rPr>
          <w:rFonts w:ascii="Arial" w:eastAsia="Arial" w:hAnsi="Arial" w:cs="Arial"/>
          <w:b/>
          <w:sz w:val="24"/>
          <w:szCs w:val="24"/>
        </w:rPr>
        <w:t>VII</w:t>
      </w:r>
      <w:r>
        <w:rPr>
          <w:rFonts w:ascii="Arial" w:eastAsia="Arial" w:hAnsi="Arial" w:cs="Arial"/>
          <w:b/>
          <w:color w:val="000000"/>
          <w:sz w:val="24"/>
          <w:szCs w:val="24"/>
        </w:rPr>
        <w:t>.-</w:t>
      </w:r>
      <w:r>
        <w:rPr>
          <w:rFonts w:ascii="Arial" w:eastAsia="Arial" w:hAnsi="Arial" w:cs="Arial"/>
          <w:color w:val="000000"/>
          <w:sz w:val="24"/>
          <w:szCs w:val="24"/>
        </w:rPr>
        <w:t xml:space="preserve"> Los servidores públicos que participen en el acto de destrucción </w:t>
      </w:r>
      <w:r>
        <w:rPr>
          <w:rFonts w:ascii="Arial" w:eastAsia="Arial" w:hAnsi="Arial" w:cs="Arial"/>
          <w:sz w:val="24"/>
          <w:szCs w:val="24"/>
        </w:rPr>
        <w:t>verificarán</w:t>
      </w:r>
      <w:r>
        <w:rPr>
          <w:rFonts w:ascii="Arial" w:eastAsia="Arial" w:hAnsi="Arial" w:cs="Arial"/>
          <w:color w:val="000000"/>
          <w:sz w:val="24"/>
          <w:szCs w:val="24"/>
        </w:rPr>
        <w:t>, en e</w:t>
      </w:r>
      <w:r w:rsidR="00844EE1">
        <w:rPr>
          <w:rFonts w:ascii="Arial" w:eastAsia="Arial" w:hAnsi="Arial" w:cs="Arial"/>
          <w:color w:val="000000"/>
          <w:sz w:val="24"/>
          <w:szCs w:val="24"/>
        </w:rPr>
        <w:t>l ámbito de sus atribuciones,</w:t>
      </w:r>
      <w:r>
        <w:rPr>
          <w:rFonts w:ascii="Arial" w:eastAsia="Arial" w:hAnsi="Arial" w:cs="Arial"/>
          <w:color w:val="000000"/>
          <w:sz w:val="24"/>
          <w:szCs w:val="24"/>
        </w:rPr>
        <w:t xml:space="preserve"> que se observen estrictamente los lineamientos y las disposiciones legales aplicables</w:t>
      </w:r>
      <w:r>
        <w:rPr>
          <w:rFonts w:ascii="Arial" w:eastAsia="Arial" w:hAnsi="Arial" w:cs="Arial"/>
          <w:sz w:val="24"/>
          <w:szCs w:val="24"/>
        </w:rPr>
        <w:t xml:space="preserve"> necesarias,</w:t>
      </w:r>
      <w:r>
        <w:rPr>
          <w:rFonts w:ascii="Arial" w:eastAsia="Arial" w:hAnsi="Arial" w:cs="Arial"/>
          <w:color w:val="000000"/>
          <w:sz w:val="24"/>
          <w:szCs w:val="24"/>
        </w:rPr>
        <w:t xml:space="preserve"> deb</w:t>
      </w:r>
      <w:r>
        <w:rPr>
          <w:rFonts w:ascii="Arial" w:eastAsia="Arial" w:hAnsi="Arial" w:cs="Arial"/>
          <w:sz w:val="24"/>
          <w:szCs w:val="24"/>
        </w:rPr>
        <w:t>iendo</w:t>
      </w:r>
      <w:r>
        <w:rPr>
          <w:rFonts w:ascii="Arial" w:eastAsia="Arial" w:hAnsi="Arial" w:cs="Arial"/>
          <w:color w:val="000000"/>
          <w:sz w:val="24"/>
          <w:szCs w:val="24"/>
        </w:rPr>
        <w:t xml:space="preserve"> suscribir el acta correspondiente</w:t>
      </w:r>
      <w:r>
        <w:rPr>
          <w:rFonts w:ascii="Arial" w:eastAsia="Arial" w:hAnsi="Arial" w:cs="Arial"/>
          <w:sz w:val="24"/>
          <w:szCs w:val="24"/>
        </w:rPr>
        <w:t>; y</w:t>
      </w:r>
    </w:p>
    <w:p w14:paraId="00000048" w14:textId="77777777" w:rsidR="00042BBF" w:rsidRDefault="00042BBF">
      <w:pPr>
        <w:pBdr>
          <w:top w:val="nil"/>
          <w:left w:val="nil"/>
          <w:bottom w:val="nil"/>
          <w:right w:val="nil"/>
          <w:between w:val="nil"/>
        </w:pBdr>
        <w:spacing w:before="99" w:line="246" w:lineRule="auto"/>
        <w:ind w:right="140"/>
        <w:jc w:val="both"/>
        <w:rPr>
          <w:rFonts w:ascii="Arial" w:eastAsia="Arial" w:hAnsi="Arial" w:cs="Arial"/>
          <w:sz w:val="24"/>
          <w:szCs w:val="24"/>
        </w:rPr>
      </w:pPr>
    </w:p>
    <w:p w14:paraId="00000049" w14:textId="77777777" w:rsidR="00042BBF" w:rsidRDefault="00F866AE">
      <w:pPr>
        <w:pBdr>
          <w:top w:val="nil"/>
          <w:left w:val="nil"/>
          <w:bottom w:val="nil"/>
          <w:right w:val="nil"/>
          <w:between w:val="nil"/>
        </w:pBdr>
        <w:spacing w:before="99" w:line="246" w:lineRule="auto"/>
        <w:ind w:right="140"/>
        <w:jc w:val="both"/>
        <w:rPr>
          <w:rFonts w:ascii="Arial" w:eastAsia="Arial" w:hAnsi="Arial" w:cs="Arial"/>
          <w:sz w:val="24"/>
          <w:szCs w:val="24"/>
        </w:rPr>
      </w:pPr>
      <w:r>
        <w:rPr>
          <w:rFonts w:ascii="Arial" w:eastAsia="Arial" w:hAnsi="Arial" w:cs="Arial"/>
          <w:b/>
          <w:sz w:val="24"/>
          <w:szCs w:val="24"/>
        </w:rPr>
        <w:t>VIII</w:t>
      </w:r>
      <w:r>
        <w:rPr>
          <w:rFonts w:ascii="Arial" w:eastAsia="Arial" w:hAnsi="Arial" w:cs="Arial"/>
          <w:sz w:val="24"/>
          <w:szCs w:val="24"/>
        </w:rPr>
        <w:t>.- Las demás que así consideré  la Junta de Gobierno.</w:t>
      </w:r>
    </w:p>
    <w:p w14:paraId="0000004A" w14:textId="77777777" w:rsidR="00042BBF" w:rsidRDefault="00042BBF">
      <w:pPr>
        <w:pBdr>
          <w:top w:val="nil"/>
          <w:left w:val="nil"/>
          <w:bottom w:val="nil"/>
          <w:right w:val="nil"/>
          <w:between w:val="nil"/>
        </w:pBdr>
        <w:spacing w:before="76" w:line="246" w:lineRule="auto"/>
        <w:ind w:right="144"/>
        <w:jc w:val="both"/>
        <w:rPr>
          <w:rFonts w:ascii="Arial" w:eastAsia="Arial" w:hAnsi="Arial" w:cs="Arial"/>
          <w:color w:val="000000"/>
          <w:sz w:val="24"/>
          <w:szCs w:val="24"/>
        </w:rPr>
      </w:pPr>
    </w:p>
    <w:p w14:paraId="0000004B" w14:textId="77777777" w:rsidR="00042BBF" w:rsidRDefault="00F866AE">
      <w:pPr>
        <w:pBdr>
          <w:top w:val="nil"/>
          <w:left w:val="nil"/>
          <w:bottom w:val="nil"/>
          <w:right w:val="nil"/>
          <w:between w:val="nil"/>
        </w:pBdr>
        <w:spacing w:before="91" w:line="246" w:lineRule="auto"/>
        <w:ind w:right="136"/>
        <w:jc w:val="both"/>
        <w:rPr>
          <w:rFonts w:ascii="Arial" w:eastAsia="Arial" w:hAnsi="Arial" w:cs="Arial"/>
          <w:color w:val="000000"/>
          <w:sz w:val="24"/>
          <w:szCs w:val="24"/>
        </w:rPr>
      </w:pPr>
      <w:r>
        <w:rPr>
          <w:rFonts w:ascii="Arial" w:eastAsia="Arial" w:hAnsi="Arial" w:cs="Arial"/>
          <w:b/>
          <w:sz w:val="24"/>
          <w:szCs w:val="24"/>
        </w:rPr>
        <w:t xml:space="preserve">Artículo 9.- </w:t>
      </w:r>
      <w:r>
        <w:rPr>
          <w:rFonts w:ascii="Arial" w:eastAsia="Arial" w:hAnsi="Arial" w:cs="Arial"/>
          <w:color w:val="000000"/>
          <w:sz w:val="24"/>
          <w:szCs w:val="24"/>
        </w:rPr>
        <w:t xml:space="preserve">El Instituto </w:t>
      </w:r>
      <w:r>
        <w:rPr>
          <w:rFonts w:ascii="Arial" w:eastAsia="Arial" w:hAnsi="Arial" w:cs="Arial"/>
          <w:sz w:val="24"/>
          <w:szCs w:val="24"/>
        </w:rPr>
        <w:t>mantendrá</w:t>
      </w:r>
      <w:r>
        <w:rPr>
          <w:rFonts w:ascii="Arial" w:eastAsia="Arial" w:hAnsi="Arial" w:cs="Arial"/>
          <w:color w:val="000000"/>
          <w:sz w:val="24"/>
          <w:szCs w:val="24"/>
        </w:rPr>
        <w:t xml:space="preserve"> en la base de datos</w:t>
      </w:r>
      <w:r>
        <w:rPr>
          <w:rFonts w:ascii="Arial" w:eastAsia="Arial" w:hAnsi="Arial" w:cs="Arial"/>
          <w:sz w:val="24"/>
          <w:szCs w:val="24"/>
        </w:rPr>
        <w:t xml:space="preserve">, </w:t>
      </w:r>
      <w:r>
        <w:rPr>
          <w:rFonts w:ascii="Arial" w:eastAsia="Arial" w:hAnsi="Arial" w:cs="Arial"/>
          <w:color w:val="000000"/>
          <w:sz w:val="24"/>
          <w:szCs w:val="24"/>
        </w:rPr>
        <w:t xml:space="preserve">el registro y control de todos los bienes que se </w:t>
      </w:r>
      <w:r>
        <w:rPr>
          <w:rFonts w:ascii="Arial" w:eastAsia="Arial" w:hAnsi="Arial" w:cs="Arial"/>
          <w:sz w:val="24"/>
          <w:szCs w:val="24"/>
        </w:rPr>
        <w:t>hayan</w:t>
      </w:r>
      <w:r>
        <w:rPr>
          <w:rFonts w:ascii="Arial" w:eastAsia="Arial" w:hAnsi="Arial" w:cs="Arial"/>
          <w:color w:val="000000"/>
          <w:sz w:val="24"/>
          <w:szCs w:val="24"/>
        </w:rPr>
        <w:t xml:space="preserve"> destruido, así </w:t>
      </w:r>
      <w:r>
        <w:rPr>
          <w:rFonts w:ascii="Arial" w:eastAsia="Arial" w:hAnsi="Arial" w:cs="Arial"/>
          <w:sz w:val="24"/>
          <w:szCs w:val="24"/>
        </w:rPr>
        <w:t>también</w:t>
      </w:r>
      <w:r>
        <w:rPr>
          <w:rFonts w:ascii="Arial" w:eastAsia="Arial" w:hAnsi="Arial" w:cs="Arial"/>
          <w:color w:val="000000"/>
          <w:sz w:val="24"/>
          <w:szCs w:val="24"/>
        </w:rPr>
        <w:t xml:space="preserve"> aquellos que hayan sido destruidos por </w:t>
      </w:r>
      <w:r>
        <w:rPr>
          <w:rFonts w:ascii="Arial" w:eastAsia="Arial" w:hAnsi="Arial" w:cs="Arial"/>
          <w:sz w:val="24"/>
          <w:szCs w:val="24"/>
        </w:rPr>
        <w:t>t</w:t>
      </w:r>
      <w:r>
        <w:rPr>
          <w:rFonts w:ascii="Arial" w:eastAsia="Arial" w:hAnsi="Arial" w:cs="Arial"/>
          <w:color w:val="000000"/>
          <w:sz w:val="24"/>
          <w:szCs w:val="24"/>
        </w:rPr>
        <w:t xml:space="preserve">erceros </w:t>
      </w:r>
      <w:r>
        <w:rPr>
          <w:rFonts w:ascii="Arial" w:eastAsia="Arial" w:hAnsi="Arial" w:cs="Arial"/>
          <w:sz w:val="24"/>
          <w:szCs w:val="24"/>
        </w:rPr>
        <w:t>especializados</w:t>
      </w:r>
      <w:r>
        <w:rPr>
          <w:rFonts w:ascii="Arial" w:eastAsia="Arial" w:hAnsi="Arial" w:cs="Arial"/>
          <w:color w:val="000000"/>
          <w:sz w:val="24"/>
          <w:szCs w:val="24"/>
        </w:rPr>
        <w:t xml:space="preserve"> a petición suya. </w:t>
      </w:r>
    </w:p>
    <w:p w14:paraId="0000004C" w14:textId="77777777" w:rsidR="00042BBF" w:rsidRDefault="00042BBF">
      <w:pPr>
        <w:pBdr>
          <w:top w:val="nil"/>
          <w:left w:val="nil"/>
          <w:bottom w:val="nil"/>
          <w:right w:val="nil"/>
          <w:between w:val="nil"/>
        </w:pBdr>
        <w:spacing w:before="91" w:line="246" w:lineRule="auto"/>
        <w:ind w:right="136"/>
        <w:jc w:val="both"/>
        <w:rPr>
          <w:rFonts w:ascii="Arial" w:eastAsia="Arial" w:hAnsi="Arial" w:cs="Arial"/>
          <w:sz w:val="24"/>
          <w:szCs w:val="24"/>
        </w:rPr>
      </w:pPr>
    </w:p>
    <w:p w14:paraId="0000004D" w14:textId="77777777" w:rsidR="00042BBF" w:rsidRDefault="00F866AE">
      <w:pPr>
        <w:pBdr>
          <w:top w:val="nil"/>
          <w:left w:val="nil"/>
          <w:bottom w:val="nil"/>
          <w:right w:val="nil"/>
          <w:between w:val="nil"/>
        </w:pBdr>
        <w:spacing w:before="91" w:line="246" w:lineRule="auto"/>
        <w:ind w:right="136"/>
        <w:jc w:val="both"/>
        <w:rPr>
          <w:rFonts w:ascii="Arial" w:eastAsia="Arial" w:hAnsi="Arial" w:cs="Arial"/>
          <w:color w:val="000000"/>
          <w:sz w:val="24"/>
          <w:szCs w:val="24"/>
        </w:rPr>
      </w:pPr>
      <w:r>
        <w:rPr>
          <w:rFonts w:ascii="Arial" w:eastAsia="Arial" w:hAnsi="Arial" w:cs="Arial"/>
          <w:sz w:val="24"/>
          <w:szCs w:val="24"/>
        </w:rPr>
        <w:t xml:space="preserve">La Persona Titular de la Dirección General del Instituto </w:t>
      </w:r>
      <w:r>
        <w:rPr>
          <w:rFonts w:ascii="Arial" w:eastAsia="Arial" w:hAnsi="Arial" w:cs="Arial"/>
          <w:color w:val="000000"/>
          <w:sz w:val="24"/>
          <w:szCs w:val="24"/>
        </w:rPr>
        <w:t xml:space="preserve">deberá informar en las sesiones extraordinarias de la Junta de Gobierno sobre </w:t>
      </w:r>
      <w:r>
        <w:rPr>
          <w:rFonts w:ascii="Arial" w:eastAsia="Arial" w:hAnsi="Arial" w:cs="Arial"/>
          <w:sz w:val="24"/>
          <w:szCs w:val="24"/>
        </w:rPr>
        <w:t>las</w:t>
      </w:r>
      <w:r>
        <w:rPr>
          <w:rFonts w:ascii="Arial" w:eastAsia="Arial" w:hAnsi="Arial" w:cs="Arial"/>
          <w:color w:val="000000"/>
          <w:sz w:val="24"/>
          <w:szCs w:val="24"/>
        </w:rPr>
        <w:t xml:space="preserve"> </w:t>
      </w:r>
      <w:r>
        <w:rPr>
          <w:rFonts w:ascii="Arial" w:eastAsia="Arial" w:hAnsi="Arial" w:cs="Arial"/>
          <w:sz w:val="24"/>
          <w:szCs w:val="24"/>
        </w:rPr>
        <w:t>operaciones</w:t>
      </w:r>
      <w:r>
        <w:rPr>
          <w:rFonts w:ascii="Arial" w:eastAsia="Arial" w:hAnsi="Arial" w:cs="Arial"/>
          <w:color w:val="000000"/>
          <w:sz w:val="24"/>
          <w:szCs w:val="24"/>
        </w:rPr>
        <w:t xml:space="preserve"> de destrucción que se </w:t>
      </w:r>
      <w:r>
        <w:rPr>
          <w:rFonts w:ascii="Arial" w:eastAsia="Arial" w:hAnsi="Arial" w:cs="Arial"/>
          <w:sz w:val="24"/>
          <w:szCs w:val="24"/>
        </w:rPr>
        <w:t>hayan</w:t>
      </w:r>
      <w:r>
        <w:rPr>
          <w:rFonts w:ascii="Arial" w:eastAsia="Arial" w:hAnsi="Arial" w:cs="Arial"/>
          <w:color w:val="000000"/>
          <w:sz w:val="24"/>
          <w:szCs w:val="24"/>
        </w:rPr>
        <w:t xml:space="preserve"> llevado a cabo en estos términos,</w:t>
      </w:r>
      <w:r>
        <w:rPr>
          <w:rFonts w:ascii="Arial" w:eastAsia="Arial" w:hAnsi="Arial" w:cs="Arial"/>
          <w:sz w:val="24"/>
          <w:szCs w:val="24"/>
        </w:rPr>
        <w:t xml:space="preserve"> la cual</w:t>
      </w:r>
      <w:r>
        <w:rPr>
          <w:rFonts w:ascii="Arial" w:eastAsia="Arial" w:hAnsi="Arial" w:cs="Arial"/>
          <w:color w:val="000000"/>
          <w:sz w:val="24"/>
          <w:szCs w:val="24"/>
        </w:rPr>
        <w:t xml:space="preserve"> </w:t>
      </w:r>
      <w:r>
        <w:rPr>
          <w:rFonts w:ascii="Arial" w:eastAsia="Arial" w:hAnsi="Arial" w:cs="Arial"/>
          <w:sz w:val="24"/>
          <w:szCs w:val="24"/>
        </w:rPr>
        <w:t>deberá</w:t>
      </w:r>
      <w:r>
        <w:rPr>
          <w:rFonts w:ascii="Arial" w:eastAsia="Arial" w:hAnsi="Arial" w:cs="Arial"/>
          <w:color w:val="000000"/>
          <w:sz w:val="24"/>
          <w:szCs w:val="24"/>
        </w:rPr>
        <w:t xml:space="preserve"> contar con el</w:t>
      </w:r>
      <w:r>
        <w:rPr>
          <w:rFonts w:ascii="Arial" w:eastAsia="Arial" w:hAnsi="Arial" w:cs="Arial"/>
          <w:sz w:val="24"/>
          <w:szCs w:val="24"/>
        </w:rPr>
        <w:t xml:space="preserve"> </w:t>
      </w:r>
      <w:r>
        <w:rPr>
          <w:rFonts w:ascii="Arial" w:eastAsia="Arial" w:hAnsi="Arial" w:cs="Arial"/>
          <w:color w:val="000000"/>
          <w:sz w:val="24"/>
          <w:szCs w:val="24"/>
        </w:rPr>
        <w:t xml:space="preserve">soporte documental </w:t>
      </w:r>
      <w:r>
        <w:rPr>
          <w:rFonts w:ascii="Arial" w:eastAsia="Arial" w:hAnsi="Arial" w:cs="Arial"/>
          <w:sz w:val="24"/>
          <w:szCs w:val="24"/>
        </w:rPr>
        <w:t>correspondiente</w:t>
      </w:r>
      <w:r>
        <w:rPr>
          <w:rFonts w:ascii="Arial" w:eastAsia="Arial" w:hAnsi="Arial" w:cs="Arial"/>
          <w:color w:val="000000"/>
          <w:sz w:val="24"/>
          <w:szCs w:val="24"/>
        </w:rPr>
        <w:t>.</w:t>
      </w:r>
    </w:p>
    <w:p w14:paraId="0000004E" w14:textId="77777777" w:rsidR="00042BBF" w:rsidRDefault="00042BBF">
      <w:pPr>
        <w:pBdr>
          <w:top w:val="nil"/>
          <w:left w:val="nil"/>
          <w:bottom w:val="nil"/>
          <w:right w:val="nil"/>
          <w:between w:val="nil"/>
        </w:pBdr>
        <w:spacing w:before="91" w:line="246" w:lineRule="auto"/>
        <w:ind w:right="136"/>
        <w:jc w:val="both"/>
        <w:rPr>
          <w:rFonts w:ascii="Arial" w:eastAsia="Arial" w:hAnsi="Arial" w:cs="Arial"/>
          <w:color w:val="000000"/>
          <w:sz w:val="24"/>
          <w:szCs w:val="24"/>
        </w:rPr>
      </w:pPr>
    </w:p>
    <w:p w14:paraId="0000004F" w14:textId="77777777" w:rsidR="00042BBF" w:rsidRDefault="00F866AE">
      <w:pPr>
        <w:pBdr>
          <w:top w:val="nil"/>
          <w:left w:val="nil"/>
          <w:bottom w:val="nil"/>
          <w:right w:val="nil"/>
          <w:between w:val="nil"/>
        </w:pBdr>
        <w:spacing w:before="89" w:line="246" w:lineRule="auto"/>
        <w:ind w:right="137"/>
        <w:jc w:val="both"/>
        <w:rPr>
          <w:rFonts w:ascii="Arial" w:eastAsia="Arial" w:hAnsi="Arial" w:cs="Arial"/>
          <w:color w:val="000000"/>
          <w:sz w:val="24"/>
          <w:szCs w:val="24"/>
        </w:rPr>
      </w:pPr>
      <w:r>
        <w:rPr>
          <w:rFonts w:ascii="Arial" w:eastAsia="Arial" w:hAnsi="Arial" w:cs="Arial"/>
          <w:b/>
          <w:sz w:val="24"/>
          <w:szCs w:val="24"/>
        </w:rPr>
        <w:t xml:space="preserve">Artículo 10.- </w:t>
      </w:r>
      <w:r>
        <w:rPr>
          <w:rFonts w:ascii="Arial" w:eastAsia="Arial" w:hAnsi="Arial" w:cs="Arial"/>
          <w:color w:val="000000"/>
          <w:sz w:val="24"/>
          <w:szCs w:val="24"/>
        </w:rPr>
        <w:t xml:space="preserve">Los bienes que, estando sujetos </w:t>
      </w:r>
      <w:r>
        <w:rPr>
          <w:rFonts w:ascii="Arial" w:eastAsia="Arial" w:hAnsi="Arial" w:cs="Arial"/>
          <w:sz w:val="24"/>
          <w:szCs w:val="24"/>
        </w:rPr>
        <w:t>a</w:t>
      </w:r>
      <w:r>
        <w:rPr>
          <w:rFonts w:ascii="Arial" w:eastAsia="Arial" w:hAnsi="Arial" w:cs="Arial"/>
          <w:color w:val="000000"/>
          <w:sz w:val="24"/>
          <w:szCs w:val="24"/>
        </w:rPr>
        <w:t xml:space="preserve"> los procedimientos </w:t>
      </w:r>
      <w:r>
        <w:rPr>
          <w:rFonts w:ascii="Arial" w:eastAsia="Arial" w:hAnsi="Arial" w:cs="Arial"/>
          <w:sz w:val="24"/>
          <w:szCs w:val="24"/>
        </w:rPr>
        <w:t>establecidos</w:t>
      </w:r>
      <w:r>
        <w:rPr>
          <w:rFonts w:ascii="Arial" w:eastAsia="Arial" w:hAnsi="Arial" w:cs="Arial"/>
          <w:color w:val="000000"/>
          <w:sz w:val="24"/>
          <w:szCs w:val="24"/>
        </w:rPr>
        <w:t xml:space="preserve"> </w:t>
      </w:r>
      <w:r>
        <w:rPr>
          <w:rFonts w:ascii="Arial" w:eastAsia="Arial" w:hAnsi="Arial" w:cs="Arial"/>
          <w:sz w:val="24"/>
          <w:szCs w:val="24"/>
        </w:rPr>
        <w:t xml:space="preserve">en el </w:t>
      </w:r>
      <w:r>
        <w:rPr>
          <w:rFonts w:ascii="Arial" w:eastAsia="Arial" w:hAnsi="Arial" w:cs="Arial"/>
          <w:color w:val="000000"/>
          <w:sz w:val="24"/>
          <w:szCs w:val="24"/>
        </w:rPr>
        <w:t xml:space="preserve">ordenamiento jurídico </w:t>
      </w:r>
      <w:r>
        <w:rPr>
          <w:rFonts w:ascii="Arial" w:eastAsia="Arial" w:hAnsi="Arial" w:cs="Arial"/>
          <w:sz w:val="24"/>
          <w:szCs w:val="24"/>
        </w:rPr>
        <w:t>promovidos por</w:t>
      </w:r>
      <w:r>
        <w:rPr>
          <w:rFonts w:ascii="Arial" w:eastAsia="Arial" w:hAnsi="Arial" w:cs="Arial"/>
          <w:color w:val="000000"/>
          <w:sz w:val="24"/>
          <w:szCs w:val="24"/>
        </w:rPr>
        <w:t xml:space="preserve"> las </w:t>
      </w:r>
      <w:r>
        <w:rPr>
          <w:rFonts w:ascii="Arial" w:eastAsia="Arial" w:hAnsi="Arial" w:cs="Arial"/>
          <w:sz w:val="24"/>
          <w:szCs w:val="24"/>
        </w:rPr>
        <w:t>e</w:t>
      </w:r>
      <w:r>
        <w:rPr>
          <w:rFonts w:ascii="Arial" w:eastAsia="Arial" w:hAnsi="Arial" w:cs="Arial"/>
          <w:color w:val="000000"/>
          <w:sz w:val="24"/>
          <w:szCs w:val="24"/>
        </w:rPr>
        <w:t xml:space="preserve">ntidades </w:t>
      </w:r>
      <w:r>
        <w:rPr>
          <w:rFonts w:ascii="Arial" w:eastAsia="Arial" w:hAnsi="Arial" w:cs="Arial"/>
          <w:sz w:val="24"/>
          <w:szCs w:val="24"/>
        </w:rPr>
        <w:t>t</w:t>
      </w:r>
      <w:r>
        <w:rPr>
          <w:rFonts w:ascii="Arial" w:eastAsia="Arial" w:hAnsi="Arial" w:cs="Arial"/>
          <w:color w:val="000000"/>
          <w:sz w:val="24"/>
          <w:szCs w:val="24"/>
        </w:rPr>
        <w:t>ransferentes, podrán ser destrui</w:t>
      </w:r>
      <w:r>
        <w:rPr>
          <w:rFonts w:ascii="Arial" w:eastAsia="Arial" w:hAnsi="Arial" w:cs="Arial"/>
          <w:sz w:val="24"/>
          <w:szCs w:val="24"/>
        </w:rPr>
        <w:t>dos por</w:t>
      </w:r>
      <w:r>
        <w:rPr>
          <w:rFonts w:ascii="Arial" w:eastAsia="Arial" w:hAnsi="Arial" w:cs="Arial"/>
          <w:color w:val="000000"/>
          <w:sz w:val="24"/>
          <w:szCs w:val="24"/>
        </w:rPr>
        <w:t xml:space="preserve"> </w:t>
      </w:r>
      <w:r>
        <w:rPr>
          <w:rFonts w:ascii="Arial" w:eastAsia="Arial" w:hAnsi="Arial" w:cs="Arial"/>
          <w:sz w:val="24"/>
          <w:szCs w:val="24"/>
        </w:rPr>
        <w:t>t</w:t>
      </w:r>
      <w:r>
        <w:rPr>
          <w:rFonts w:ascii="Arial" w:eastAsia="Arial" w:hAnsi="Arial" w:cs="Arial"/>
          <w:color w:val="000000"/>
          <w:sz w:val="24"/>
          <w:szCs w:val="24"/>
        </w:rPr>
        <w:t xml:space="preserve">erceros </w:t>
      </w:r>
      <w:r>
        <w:rPr>
          <w:rFonts w:ascii="Arial" w:eastAsia="Arial" w:hAnsi="Arial" w:cs="Arial"/>
          <w:sz w:val="24"/>
          <w:szCs w:val="24"/>
        </w:rPr>
        <w:t>e</w:t>
      </w:r>
      <w:r>
        <w:rPr>
          <w:rFonts w:ascii="Arial" w:eastAsia="Arial" w:hAnsi="Arial" w:cs="Arial"/>
          <w:color w:val="000000"/>
          <w:sz w:val="24"/>
          <w:szCs w:val="24"/>
        </w:rPr>
        <w:t xml:space="preserve">specializados, previo acuerdo que se celebre con el Instituto, debiendo cumplir este con lo establecido en la Ley, su </w:t>
      </w:r>
      <w:r>
        <w:rPr>
          <w:rFonts w:ascii="Arial" w:eastAsia="Arial" w:hAnsi="Arial" w:cs="Arial"/>
          <w:sz w:val="24"/>
          <w:szCs w:val="24"/>
        </w:rPr>
        <w:t>r</w:t>
      </w:r>
      <w:r>
        <w:rPr>
          <w:rFonts w:ascii="Arial" w:eastAsia="Arial" w:hAnsi="Arial" w:cs="Arial"/>
          <w:color w:val="000000"/>
          <w:sz w:val="24"/>
          <w:szCs w:val="24"/>
        </w:rPr>
        <w:t>eglamento y los presentes Lineamientos.</w:t>
      </w:r>
    </w:p>
    <w:p w14:paraId="00000050" w14:textId="77777777" w:rsidR="00042BBF" w:rsidRDefault="00042BBF">
      <w:pPr>
        <w:pBdr>
          <w:top w:val="nil"/>
          <w:left w:val="nil"/>
          <w:bottom w:val="nil"/>
          <w:right w:val="nil"/>
          <w:between w:val="nil"/>
        </w:pBdr>
        <w:spacing w:before="89" w:line="246" w:lineRule="auto"/>
        <w:ind w:right="137"/>
        <w:jc w:val="both"/>
        <w:rPr>
          <w:rFonts w:ascii="Arial" w:eastAsia="Arial" w:hAnsi="Arial" w:cs="Arial"/>
          <w:sz w:val="24"/>
          <w:szCs w:val="24"/>
        </w:rPr>
      </w:pPr>
    </w:p>
    <w:p w14:paraId="00000051" w14:textId="77777777" w:rsidR="00042BBF" w:rsidRDefault="00F866AE">
      <w:pPr>
        <w:pBdr>
          <w:top w:val="nil"/>
          <w:left w:val="nil"/>
          <w:bottom w:val="nil"/>
          <w:right w:val="nil"/>
          <w:between w:val="nil"/>
        </w:pBdr>
        <w:tabs>
          <w:tab w:val="left" w:pos="8038"/>
        </w:tabs>
        <w:spacing w:before="90" w:line="246" w:lineRule="auto"/>
        <w:ind w:right="134"/>
        <w:jc w:val="both"/>
        <w:rPr>
          <w:rFonts w:ascii="Arial" w:eastAsia="Arial" w:hAnsi="Arial" w:cs="Arial"/>
          <w:sz w:val="24"/>
          <w:szCs w:val="24"/>
        </w:rPr>
      </w:pPr>
      <w:r>
        <w:rPr>
          <w:rFonts w:ascii="Arial" w:eastAsia="Arial" w:hAnsi="Arial" w:cs="Arial"/>
          <w:b/>
          <w:sz w:val="24"/>
          <w:szCs w:val="24"/>
        </w:rPr>
        <w:t xml:space="preserve">Artículo 11.- </w:t>
      </w:r>
      <w:r>
        <w:rPr>
          <w:rFonts w:ascii="Arial" w:eastAsia="Arial" w:hAnsi="Arial" w:cs="Arial"/>
          <w:sz w:val="24"/>
          <w:szCs w:val="24"/>
        </w:rPr>
        <w:t>Se consideran como costos de administración de bienes, a los gastos en que incurre el Instituto derivados del proceso de destrucción, en términos de Ley.</w:t>
      </w:r>
    </w:p>
    <w:p w14:paraId="00000052" w14:textId="77777777" w:rsidR="00042BBF" w:rsidRDefault="00042BBF">
      <w:pPr>
        <w:pBdr>
          <w:top w:val="nil"/>
          <w:left w:val="nil"/>
          <w:bottom w:val="nil"/>
          <w:right w:val="nil"/>
          <w:between w:val="nil"/>
        </w:pBdr>
        <w:tabs>
          <w:tab w:val="left" w:pos="8038"/>
        </w:tabs>
        <w:spacing w:before="90" w:line="246" w:lineRule="auto"/>
        <w:ind w:right="134"/>
        <w:jc w:val="both"/>
        <w:rPr>
          <w:rFonts w:ascii="Arial" w:eastAsia="Arial" w:hAnsi="Arial" w:cs="Arial"/>
          <w:sz w:val="24"/>
          <w:szCs w:val="24"/>
        </w:rPr>
      </w:pPr>
    </w:p>
    <w:p w14:paraId="00000053" w14:textId="77777777" w:rsidR="00042BBF" w:rsidRDefault="00F866AE">
      <w:pPr>
        <w:pBdr>
          <w:top w:val="nil"/>
          <w:left w:val="nil"/>
          <w:bottom w:val="nil"/>
          <w:right w:val="nil"/>
          <w:between w:val="nil"/>
        </w:pBdr>
        <w:tabs>
          <w:tab w:val="left" w:pos="8038"/>
        </w:tabs>
        <w:spacing w:before="90" w:line="246" w:lineRule="auto"/>
        <w:ind w:right="134"/>
        <w:jc w:val="both"/>
        <w:rPr>
          <w:rFonts w:ascii="Arial" w:eastAsia="Arial" w:hAnsi="Arial" w:cs="Arial"/>
          <w:sz w:val="24"/>
          <w:szCs w:val="24"/>
        </w:rPr>
      </w:pPr>
      <w:r>
        <w:rPr>
          <w:rFonts w:ascii="Arial" w:eastAsia="Arial" w:hAnsi="Arial" w:cs="Arial"/>
          <w:sz w:val="24"/>
          <w:szCs w:val="24"/>
        </w:rPr>
        <w:t>Cuando del producto de la destrucción se pueda obtener algún recurso, este será transferido al Fondo de Administración del Instituto.</w:t>
      </w:r>
    </w:p>
    <w:p w14:paraId="00000054" w14:textId="77777777" w:rsidR="00042BBF" w:rsidRDefault="00F866AE">
      <w:pPr>
        <w:pBdr>
          <w:top w:val="nil"/>
          <w:left w:val="nil"/>
          <w:bottom w:val="nil"/>
          <w:right w:val="nil"/>
          <w:between w:val="nil"/>
        </w:pBdr>
        <w:tabs>
          <w:tab w:val="left" w:pos="8038"/>
        </w:tabs>
        <w:spacing w:before="90" w:line="246" w:lineRule="auto"/>
        <w:ind w:right="134"/>
        <w:jc w:val="both"/>
        <w:rPr>
          <w:rFonts w:ascii="Arial" w:eastAsia="Arial" w:hAnsi="Arial" w:cs="Arial"/>
          <w:sz w:val="24"/>
          <w:szCs w:val="24"/>
        </w:rPr>
      </w:pPr>
      <w:r>
        <w:rPr>
          <w:rFonts w:ascii="Arial" w:eastAsia="Arial" w:hAnsi="Arial" w:cs="Arial"/>
          <w:sz w:val="24"/>
          <w:szCs w:val="24"/>
        </w:rPr>
        <w:t xml:space="preserve"> </w:t>
      </w:r>
    </w:p>
    <w:p w14:paraId="00000055" w14:textId="77777777" w:rsidR="00042BBF" w:rsidRDefault="00F866AE">
      <w:pPr>
        <w:pBdr>
          <w:top w:val="nil"/>
          <w:left w:val="nil"/>
          <w:bottom w:val="nil"/>
          <w:right w:val="nil"/>
          <w:between w:val="nil"/>
        </w:pBdr>
        <w:spacing w:before="98" w:line="249" w:lineRule="auto"/>
        <w:ind w:right="141"/>
        <w:jc w:val="both"/>
        <w:rPr>
          <w:rFonts w:ascii="Arial" w:eastAsia="Arial" w:hAnsi="Arial" w:cs="Arial"/>
          <w:color w:val="000000"/>
          <w:sz w:val="24"/>
          <w:szCs w:val="24"/>
        </w:rPr>
      </w:pPr>
      <w:r>
        <w:rPr>
          <w:rFonts w:ascii="Arial" w:eastAsia="Arial" w:hAnsi="Arial" w:cs="Arial"/>
          <w:b/>
          <w:sz w:val="24"/>
          <w:szCs w:val="24"/>
        </w:rPr>
        <w:lastRenderedPageBreak/>
        <w:t xml:space="preserve">Artículo 12.- </w:t>
      </w:r>
      <w:r>
        <w:rPr>
          <w:rFonts w:ascii="Arial" w:eastAsia="Arial" w:hAnsi="Arial" w:cs="Arial"/>
          <w:color w:val="000000"/>
          <w:sz w:val="24"/>
          <w:szCs w:val="24"/>
        </w:rPr>
        <w:t>La interpretación para efectos administrativos de los presentes Lineamientos, estará a cargo de la Dirección Jurídica y Contenciosa del Instituto.</w:t>
      </w:r>
    </w:p>
    <w:p w14:paraId="00000056" w14:textId="77777777" w:rsidR="00042BBF" w:rsidRDefault="00042BBF">
      <w:pPr>
        <w:pBdr>
          <w:top w:val="nil"/>
          <w:left w:val="nil"/>
          <w:bottom w:val="nil"/>
          <w:right w:val="nil"/>
          <w:between w:val="nil"/>
        </w:pBdr>
        <w:spacing w:before="98" w:line="249" w:lineRule="auto"/>
        <w:ind w:right="141"/>
        <w:jc w:val="both"/>
        <w:rPr>
          <w:rFonts w:ascii="Arial" w:eastAsia="Arial" w:hAnsi="Arial" w:cs="Arial"/>
          <w:sz w:val="24"/>
          <w:szCs w:val="24"/>
        </w:rPr>
      </w:pPr>
    </w:p>
    <w:p w14:paraId="00000057" w14:textId="77777777" w:rsidR="00042BBF" w:rsidRDefault="00042BBF">
      <w:pPr>
        <w:pBdr>
          <w:top w:val="nil"/>
          <w:left w:val="nil"/>
          <w:bottom w:val="nil"/>
          <w:right w:val="nil"/>
          <w:between w:val="nil"/>
        </w:pBdr>
        <w:spacing w:before="98" w:line="249" w:lineRule="auto"/>
        <w:ind w:right="141"/>
        <w:jc w:val="both"/>
        <w:rPr>
          <w:rFonts w:ascii="Arial" w:eastAsia="Arial" w:hAnsi="Arial" w:cs="Arial"/>
          <w:sz w:val="24"/>
          <w:szCs w:val="24"/>
        </w:rPr>
      </w:pPr>
    </w:p>
    <w:p w14:paraId="00000058" w14:textId="77777777" w:rsidR="00042BBF" w:rsidRDefault="00F866AE">
      <w:pPr>
        <w:pBdr>
          <w:top w:val="nil"/>
          <w:left w:val="nil"/>
          <w:bottom w:val="nil"/>
          <w:right w:val="nil"/>
          <w:between w:val="nil"/>
        </w:pBdr>
        <w:spacing w:before="98" w:line="249" w:lineRule="auto"/>
        <w:ind w:right="141"/>
        <w:jc w:val="center"/>
        <w:rPr>
          <w:rFonts w:ascii="Arial" w:eastAsia="Arial" w:hAnsi="Arial" w:cs="Arial"/>
          <w:b/>
          <w:color w:val="000000"/>
          <w:sz w:val="24"/>
          <w:szCs w:val="24"/>
        </w:rPr>
      </w:pPr>
      <w:r>
        <w:rPr>
          <w:rFonts w:ascii="Arial" w:eastAsia="Arial" w:hAnsi="Arial" w:cs="Arial"/>
          <w:b/>
          <w:sz w:val="24"/>
          <w:szCs w:val="24"/>
        </w:rPr>
        <w:t xml:space="preserve">ARTÍCULOS </w:t>
      </w:r>
      <w:r>
        <w:rPr>
          <w:rFonts w:ascii="Arial" w:eastAsia="Arial" w:hAnsi="Arial" w:cs="Arial"/>
          <w:b/>
          <w:color w:val="000000"/>
          <w:sz w:val="24"/>
          <w:szCs w:val="24"/>
        </w:rPr>
        <w:t>TRANSITORIO</w:t>
      </w:r>
    </w:p>
    <w:p w14:paraId="00000059" w14:textId="77777777" w:rsidR="00042BBF" w:rsidRDefault="00042BBF">
      <w:pPr>
        <w:pBdr>
          <w:top w:val="nil"/>
          <w:left w:val="nil"/>
          <w:bottom w:val="nil"/>
          <w:right w:val="nil"/>
          <w:between w:val="nil"/>
        </w:pBdr>
        <w:spacing w:before="98" w:line="249" w:lineRule="auto"/>
        <w:ind w:right="141"/>
        <w:jc w:val="center"/>
        <w:rPr>
          <w:rFonts w:ascii="Arial" w:eastAsia="Arial" w:hAnsi="Arial" w:cs="Arial"/>
          <w:b/>
          <w:sz w:val="24"/>
          <w:szCs w:val="24"/>
        </w:rPr>
      </w:pPr>
    </w:p>
    <w:p w14:paraId="0000005A" w14:textId="77777777" w:rsidR="00042BBF" w:rsidRDefault="00F866AE">
      <w:pPr>
        <w:pBdr>
          <w:top w:val="nil"/>
          <w:left w:val="nil"/>
          <w:bottom w:val="nil"/>
          <w:right w:val="nil"/>
          <w:between w:val="nil"/>
        </w:pBdr>
        <w:spacing w:before="98" w:line="249" w:lineRule="auto"/>
        <w:ind w:right="141"/>
        <w:jc w:val="both"/>
        <w:rPr>
          <w:rFonts w:ascii="Arial" w:eastAsia="Arial" w:hAnsi="Arial" w:cs="Arial"/>
          <w:color w:val="000000"/>
          <w:sz w:val="24"/>
          <w:szCs w:val="24"/>
        </w:rPr>
      </w:pPr>
      <w:r>
        <w:rPr>
          <w:rFonts w:ascii="Arial" w:eastAsia="Arial" w:hAnsi="Arial" w:cs="Arial"/>
          <w:b/>
          <w:sz w:val="24"/>
          <w:szCs w:val="24"/>
        </w:rPr>
        <w:t>PRIMERO</w:t>
      </w:r>
      <w:r>
        <w:rPr>
          <w:rFonts w:ascii="Arial" w:eastAsia="Arial" w:hAnsi="Arial" w:cs="Arial"/>
          <w:b/>
          <w:color w:val="000000"/>
          <w:sz w:val="24"/>
          <w:szCs w:val="24"/>
        </w:rPr>
        <w:t>. -</w:t>
      </w:r>
      <w:r>
        <w:rPr>
          <w:rFonts w:ascii="Arial" w:eastAsia="Arial" w:hAnsi="Arial" w:cs="Arial"/>
          <w:color w:val="000000"/>
          <w:sz w:val="24"/>
          <w:szCs w:val="24"/>
        </w:rPr>
        <w:t xml:space="preserve"> Los presentes Lineamientos entrarán en vigor al día siguiente de su publicación en el Periódico Oficial del Estado.</w:t>
      </w:r>
    </w:p>
    <w:p w14:paraId="0000005B" w14:textId="77777777" w:rsidR="00042BBF" w:rsidRDefault="00042BBF">
      <w:pPr>
        <w:pBdr>
          <w:top w:val="nil"/>
          <w:left w:val="nil"/>
          <w:bottom w:val="nil"/>
          <w:right w:val="nil"/>
          <w:between w:val="nil"/>
        </w:pBdr>
        <w:spacing w:before="98" w:line="249" w:lineRule="auto"/>
        <w:ind w:right="141"/>
        <w:jc w:val="both"/>
        <w:rPr>
          <w:rFonts w:ascii="Arial" w:eastAsia="Arial" w:hAnsi="Arial" w:cs="Arial"/>
          <w:sz w:val="24"/>
          <w:szCs w:val="24"/>
        </w:rPr>
      </w:pPr>
    </w:p>
    <w:p w14:paraId="0000005C" w14:textId="77777777" w:rsidR="00042BBF" w:rsidRDefault="00F866AE">
      <w:pPr>
        <w:jc w:val="both"/>
        <w:rPr>
          <w:rFonts w:ascii="Arial" w:eastAsia="Arial" w:hAnsi="Arial" w:cs="Arial"/>
          <w:sz w:val="24"/>
          <w:szCs w:val="24"/>
        </w:rPr>
      </w:pPr>
      <w:r>
        <w:rPr>
          <w:rFonts w:ascii="Arial" w:eastAsia="Arial" w:hAnsi="Arial" w:cs="Arial"/>
          <w:b/>
          <w:sz w:val="24"/>
          <w:szCs w:val="24"/>
        </w:rPr>
        <w:t xml:space="preserve">SEGUNDO.- </w:t>
      </w:r>
      <w:r>
        <w:rPr>
          <w:rFonts w:ascii="Arial" w:eastAsia="Arial" w:hAnsi="Arial" w:cs="Arial"/>
          <w:sz w:val="24"/>
          <w:szCs w:val="24"/>
        </w:rPr>
        <w:t>Para lo que no se encuentre previsto  dentro de los presentes   lineamientos, se estará a lo que dispongan las leyes correspondientes, el Instituto o Junta de Gobierno.</w:t>
      </w:r>
    </w:p>
    <w:p w14:paraId="0000005D" w14:textId="77777777" w:rsidR="00042BBF" w:rsidRDefault="00042BBF">
      <w:pPr>
        <w:pBdr>
          <w:top w:val="nil"/>
          <w:left w:val="nil"/>
          <w:bottom w:val="nil"/>
          <w:right w:val="nil"/>
          <w:between w:val="nil"/>
        </w:pBdr>
        <w:spacing w:before="98" w:line="249" w:lineRule="auto"/>
        <w:ind w:right="141"/>
        <w:jc w:val="both"/>
        <w:rPr>
          <w:rFonts w:ascii="Arial" w:eastAsia="Arial" w:hAnsi="Arial" w:cs="Arial"/>
          <w:sz w:val="24"/>
          <w:szCs w:val="24"/>
        </w:rPr>
      </w:pPr>
    </w:p>
    <w:p w14:paraId="2F44684E" w14:textId="77777777" w:rsidR="007B6F63" w:rsidRDefault="007B6F63" w:rsidP="007B6F63">
      <w:pPr>
        <w:jc w:val="both"/>
        <w:rPr>
          <w:rFonts w:ascii="Arial" w:eastAsia="Arial" w:hAnsi="Arial" w:cs="Arial"/>
          <w:sz w:val="24"/>
          <w:szCs w:val="24"/>
        </w:rPr>
      </w:pPr>
      <w:r>
        <w:rPr>
          <w:rFonts w:ascii="Arial" w:eastAsia="Arial" w:hAnsi="Arial" w:cs="Arial"/>
          <w:b/>
          <w:sz w:val="24"/>
          <w:szCs w:val="24"/>
        </w:rPr>
        <w:t>DADO POR EL TITULAR DE LA DIRECCIÓN GENERAL DEL INSTITUTO HIDALGUENSE PARA DEVOLVER AL PUEBLO LO ROBADO, EN LA CIUDAD DE PACHUCA DE SOTO, HIDALGO A LOS ________ DÍAS DEL MES DE _______ DEL 2024 DOS MIL VEINTICUATRO, PARA LOS EFECTOS LEGALES A QUE HAYA LUGAR.</w:t>
      </w:r>
    </w:p>
    <w:p w14:paraId="0000005E" w14:textId="2482214E" w:rsidR="00042BBF" w:rsidRDefault="00042BBF" w:rsidP="007B6F63">
      <w:pPr>
        <w:pBdr>
          <w:top w:val="nil"/>
          <w:left w:val="nil"/>
          <w:bottom w:val="nil"/>
          <w:right w:val="nil"/>
          <w:between w:val="nil"/>
        </w:pBdr>
        <w:spacing w:before="98" w:line="249" w:lineRule="auto"/>
        <w:ind w:right="141"/>
        <w:jc w:val="both"/>
        <w:rPr>
          <w:rFonts w:ascii="Arial" w:eastAsia="Arial" w:hAnsi="Arial" w:cs="Arial"/>
          <w:b/>
          <w:color w:val="000000"/>
          <w:sz w:val="24"/>
          <w:szCs w:val="24"/>
        </w:rPr>
      </w:pPr>
      <w:bookmarkStart w:id="0" w:name="_GoBack"/>
      <w:bookmarkEnd w:id="0"/>
    </w:p>
    <w:sectPr w:rsidR="00042BBF">
      <w:pgSz w:w="12240" w:h="15840"/>
      <w:pgMar w:top="2835" w:right="1701" w:bottom="1418"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042BBF"/>
    <w:rsid w:val="00042BBF"/>
    <w:rsid w:val="00627634"/>
    <w:rsid w:val="007B6F63"/>
    <w:rsid w:val="00844EE1"/>
    <w:rsid w:val="00F866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T" w:eastAsia="Arial MT" w:hAnsi="Arial MT" w:cs="Arial MT"/>
        <w:sz w:val="22"/>
        <w:szCs w:val="22"/>
        <w:lang w:val="es-ES" w:eastAsia="es-MX"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spacing w:before="82"/>
      <w:ind w:right="134"/>
      <w:jc w:val="center"/>
      <w:outlineLvl w:val="0"/>
    </w:pPr>
    <w:rPr>
      <w:rFonts w:ascii="Times New Roman" w:eastAsia="Times New Roman" w:hAnsi="Times New Roman" w:cs="Times New Roman"/>
      <w:b/>
      <w:sz w:val="18"/>
      <w:szCs w:val="1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MT" w:eastAsia="Arial MT" w:hAnsi="Arial MT" w:cs="Arial MT"/>
        <w:sz w:val="22"/>
        <w:szCs w:val="22"/>
        <w:lang w:val="es-ES" w:eastAsia="es-MX"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spacing w:before="82"/>
      <w:ind w:right="134"/>
      <w:jc w:val="center"/>
      <w:outlineLvl w:val="0"/>
    </w:pPr>
    <w:rPr>
      <w:rFonts w:ascii="Times New Roman" w:eastAsia="Times New Roman" w:hAnsi="Times New Roman" w:cs="Times New Roman"/>
      <w:b/>
      <w:sz w:val="18"/>
      <w:szCs w:val="1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Ca2+QyV3JCGbk4+wMZIIROh8Q==">CgMxLjA4AHIhMWlmZ0UwYUpLbHRaOFFNRzN5dnE5V1FkTm4tLWVOYVR6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1578</Words>
  <Characters>8679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Juarez Sanchez</dc:creator>
  <cp:lastModifiedBy>Carlos Sanchez Lugo</cp:lastModifiedBy>
  <cp:revision>3</cp:revision>
  <dcterms:created xsi:type="dcterms:W3CDTF">2024-01-26T15:35:00Z</dcterms:created>
  <dcterms:modified xsi:type="dcterms:W3CDTF">2024-03-05T19:47:00Z</dcterms:modified>
</cp:coreProperties>
</file>